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rPr>
          <w:rFonts w:hint="default" w:ascii="ＭＳ ゴシック" w:hAnsi="ＭＳ ゴシック" w:eastAsia="ＭＳ ゴシック"/>
          <w:sz w:val="32"/>
        </w:rPr>
      </w:pPr>
      <w:r>
        <w:rPr>
          <w:rFonts w:hint="eastAsia" w:ascii="ＭＳ 明朝" w:hAnsi="ＭＳ 明朝" w:eastAsia="ＭＳ 明朝"/>
          <w:sz w:val="24"/>
        </w:rPr>
        <w:t>　</w:t>
      </w:r>
      <w:r>
        <w:rPr>
          <w:rFonts w:hint="eastAsia" w:ascii="ＭＳ ゴシック" w:hAnsi="ＭＳ ゴシック" w:eastAsia="ＭＳ ゴシック"/>
          <w:sz w:val="32"/>
        </w:rPr>
        <w:t>串間市の入札における工事内訳書の変更について</w:t>
      </w:r>
    </w:p>
    <w:p>
      <w:pPr>
        <w:pStyle w:val="0"/>
        <w:wordWrap w:val="0"/>
        <w:spacing w:after="0" w:afterLines="0" w:afterAutospacing="0" w:line="240" w:lineRule="auto"/>
        <w:jc w:val="right"/>
        <w:rPr>
          <w:rFonts w:hint="default" w:ascii="ＭＳ ゴシック" w:hAnsi="ＭＳ ゴシック" w:eastAsia="ＭＳ ゴシック"/>
          <w:sz w:val="24"/>
        </w:rPr>
      </w:pPr>
      <w:r>
        <w:rPr>
          <w:rFonts w:hint="eastAsia" w:ascii="ＭＳ ゴシック" w:hAnsi="ＭＳ ゴシック" w:eastAsia="ＭＳ ゴシック"/>
          <w:sz w:val="24"/>
        </w:rPr>
        <w:t>令和８年３月</w:t>
      </w:r>
      <w:r>
        <w:rPr>
          <w:rFonts w:hint="eastAsia" w:ascii="ＭＳ ゴシック" w:hAnsi="ＭＳ ゴシック" w:eastAsia="ＭＳ ゴシック"/>
          <w:sz w:val="24"/>
        </w:rPr>
        <w:t>31</w:t>
      </w:r>
      <w:bookmarkStart w:id="0" w:name="_GoBack"/>
      <w:bookmarkEnd w:id="0"/>
      <w:r>
        <w:rPr>
          <w:rFonts w:hint="eastAsia" w:ascii="ＭＳ ゴシック" w:hAnsi="ＭＳ ゴシック" w:eastAsia="ＭＳ ゴシック"/>
          <w:sz w:val="24"/>
        </w:rPr>
        <w:t>日</w:t>
      </w:r>
    </w:p>
    <w:p>
      <w:pPr>
        <w:pStyle w:val="0"/>
        <w:spacing w:after="0" w:afterLines="0" w:afterAutospacing="0" w:line="240" w:lineRule="auto"/>
        <w:rPr>
          <w:rFonts w:hint="default" w:ascii="ＭＳ 明朝" w:hAnsi="ＭＳ 明朝" w:eastAsia="ＭＳ 明朝"/>
          <w:sz w:val="24"/>
        </w:rPr>
      </w:pPr>
    </w:p>
    <w:p>
      <w:pPr>
        <w:pStyle w:val="0"/>
        <w:spacing w:after="0" w:afterLines="0" w:afterAutospacing="0" w:line="240" w:lineRule="auto"/>
        <w:rPr>
          <w:rFonts w:hint="default" w:ascii="ＭＳ 明朝" w:hAnsi="ＭＳ 明朝" w:eastAsia="ＭＳ 明朝"/>
          <w:sz w:val="24"/>
          <w:shd w:val="pct15" w:color="auto" w:fill="FFFFFF"/>
        </w:rPr>
      </w:pPr>
      <w:r>
        <w:rPr>
          <w:rFonts w:hint="eastAsia" w:ascii="ＭＳ 明朝" w:hAnsi="ＭＳ 明朝" w:eastAsia="ＭＳ 明朝"/>
          <w:sz w:val="24"/>
          <w:shd w:val="pct15" w:color="auto" w:fill="FFFFFF"/>
        </w:rPr>
        <w:t>１　趣旨</w:t>
      </w:r>
    </w:p>
    <w:p>
      <w:pPr>
        <w:pStyle w:val="0"/>
        <w:spacing w:after="0" w:afterLines="0" w:afterAutospacing="0" w:line="240" w:lineRule="auto"/>
        <w:ind w:left="240" w:hanging="240" w:hangingChars="100"/>
        <w:rPr>
          <w:rFonts w:hint="default" w:ascii="ＭＳ 明朝" w:hAnsi="ＭＳ 明朝" w:eastAsia="ＭＳ 明朝"/>
          <w:sz w:val="24"/>
        </w:rPr>
      </w:pPr>
      <w:r>
        <w:rPr>
          <w:rFonts w:hint="eastAsia" w:ascii="ＭＳ 明朝" w:hAnsi="ＭＳ 明朝" w:eastAsia="ＭＳ 明朝"/>
          <w:sz w:val="24"/>
        </w:rPr>
        <w:t>　　公共工事の入札及び契約の適正化の促進に関する法律（平成</w:t>
      </w:r>
      <w:r>
        <w:rPr>
          <w:rFonts w:hint="default" w:ascii="ＭＳ 明朝" w:hAnsi="ＭＳ 明朝" w:eastAsia="ＭＳ 明朝"/>
          <w:sz w:val="24"/>
        </w:rPr>
        <w:t>12</w:t>
      </w:r>
      <w:r>
        <w:rPr>
          <w:rFonts w:hint="eastAsia" w:ascii="ＭＳ 明朝" w:hAnsi="ＭＳ 明朝" w:eastAsia="ＭＳ 明朝"/>
          <w:sz w:val="24"/>
        </w:rPr>
        <w:t>年法律第</w:t>
      </w:r>
      <w:r>
        <w:rPr>
          <w:rFonts w:hint="default" w:ascii="ＭＳ 明朝" w:hAnsi="ＭＳ 明朝" w:eastAsia="ＭＳ 明朝"/>
          <w:sz w:val="24"/>
        </w:rPr>
        <w:t>127</w:t>
      </w:r>
      <w:r>
        <w:rPr>
          <w:rFonts w:hint="eastAsia" w:ascii="ＭＳ 明朝" w:hAnsi="ＭＳ 明朝" w:eastAsia="ＭＳ 明朝"/>
          <w:sz w:val="24"/>
        </w:rPr>
        <w:t>号。以下「入札契約適正化法」という。）が改正され、入札金額の内訳として、材料費、労務費及び当該公共工事に従事する労働者による適正な施工を確保するために不可欠な経費として国土交通省令で定めるものその他当該公共工事の施工のために必要な経費の内訳を記載しなければならないこととされました（入札契約適正化法第</w:t>
      </w:r>
      <w:r>
        <w:rPr>
          <w:rFonts w:hint="default" w:ascii="ＭＳ 明朝" w:hAnsi="ＭＳ 明朝" w:eastAsia="ＭＳ 明朝"/>
          <w:sz w:val="24"/>
        </w:rPr>
        <w:t>12</w:t>
      </w:r>
      <w:r>
        <w:rPr>
          <w:rFonts w:hint="eastAsia" w:ascii="ＭＳ 明朝" w:hAnsi="ＭＳ 明朝" w:eastAsia="ＭＳ 明朝"/>
          <w:sz w:val="24"/>
        </w:rPr>
        <w:t>条）。</w:t>
      </w:r>
    </w:p>
    <w:p>
      <w:pPr>
        <w:pStyle w:val="0"/>
        <w:spacing w:after="0" w:afterLines="0" w:afterAutospacing="0" w:line="240" w:lineRule="auto"/>
        <w:ind w:left="220" w:leftChars="100" w:firstLine="240" w:firstLineChars="100"/>
        <w:rPr>
          <w:rFonts w:hint="default" w:ascii="ＭＳ 明朝" w:hAnsi="ＭＳ 明朝" w:eastAsia="ＭＳ 明朝"/>
          <w:sz w:val="24"/>
        </w:rPr>
      </w:pPr>
      <w:r>
        <w:rPr>
          <w:rFonts w:hint="eastAsia" w:ascii="ＭＳ 明朝" w:hAnsi="ＭＳ 明朝" w:eastAsia="ＭＳ 明朝"/>
          <w:sz w:val="24"/>
        </w:rPr>
        <w:t>そのため工事内訳書への記載が必要となったため、別添資料の通り、工事内訳書を変更する。</w:t>
      </w:r>
    </w:p>
    <w:p>
      <w:pPr>
        <w:pStyle w:val="0"/>
        <w:spacing w:after="0" w:afterLines="0" w:afterAutospacing="0" w:line="240" w:lineRule="auto"/>
        <w:rPr>
          <w:rFonts w:hint="default" w:ascii="ＭＳ 明朝" w:hAnsi="ＭＳ 明朝" w:eastAsia="ＭＳ 明朝"/>
          <w:sz w:val="24"/>
        </w:rPr>
      </w:pPr>
    </w:p>
    <w:p>
      <w:pPr>
        <w:pStyle w:val="0"/>
        <w:spacing w:after="0" w:afterLines="0" w:afterAutospacing="0" w:line="240" w:lineRule="auto"/>
        <w:rPr>
          <w:rFonts w:hint="default" w:ascii="ＭＳ 明朝" w:hAnsi="ＭＳ 明朝" w:eastAsia="ＭＳ 明朝"/>
          <w:sz w:val="24"/>
          <w:shd w:val="pct15" w:color="auto" w:fill="FFFFFF"/>
        </w:rPr>
      </w:pPr>
      <w:r>
        <w:rPr>
          <w:rFonts w:hint="eastAsia" w:ascii="ＭＳ 明朝" w:hAnsi="ＭＳ 明朝" w:eastAsia="ＭＳ 明朝"/>
          <w:sz w:val="24"/>
          <w:shd w:val="pct15" w:color="auto" w:fill="FFFFFF"/>
        </w:rPr>
        <w:t>２　工事内訳書の変更について</w:t>
      </w:r>
    </w:p>
    <w:p>
      <w:pPr>
        <w:pStyle w:val="0"/>
        <w:spacing w:after="0" w:afterLines="0" w:afterAutospacing="0" w:line="240" w:lineRule="auto"/>
        <w:ind w:left="240" w:hanging="240" w:hangingChars="100"/>
        <w:rPr>
          <w:rFonts w:hint="default" w:ascii="ＭＳ 明朝" w:hAnsi="ＭＳ 明朝" w:eastAsia="ＭＳ 明朝"/>
          <w:sz w:val="24"/>
        </w:rPr>
      </w:pPr>
      <w:r>
        <w:rPr>
          <w:rFonts w:hint="eastAsia" w:ascii="ＭＳ 明朝" w:hAnsi="ＭＳ 明朝" w:eastAsia="ＭＳ 明朝"/>
          <w:sz w:val="24"/>
        </w:rPr>
        <w:t>　　別添資料のとおり</w:t>
      </w:r>
    </w:p>
    <w:p>
      <w:pPr>
        <w:pStyle w:val="0"/>
        <w:spacing w:after="0" w:afterLines="0" w:afterAutospacing="0" w:line="240" w:lineRule="auto"/>
        <w:ind w:left="240" w:hanging="240" w:hangingChars="100"/>
        <w:rPr>
          <w:rFonts w:hint="default" w:ascii="ＭＳ 明朝" w:hAnsi="ＭＳ 明朝" w:eastAsia="ＭＳ 明朝"/>
          <w:sz w:val="24"/>
        </w:rPr>
      </w:pPr>
    </w:p>
    <w:p>
      <w:pPr>
        <w:pStyle w:val="0"/>
        <w:spacing w:after="0" w:afterLines="0" w:afterAutospacing="0" w:line="240" w:lineRule="auto"/>
        <w:rPr>
          <w:rFonts w:hint="default" w:ascii="ＭＳ 明朝" w:hAnsi="ＭＳ 明朝" w:eastAsia="ＭＳ 明朝"/>
          <w:sz w:val="24"/>
          <w:shd w:val="pct15" w:color="auto" w:fill="FFFFFF"/>
        </w:rPr>
      </w:pPr>
      <w:r>
        <w:rPr>
          <w:rFonts w:hint="eastAsia" w:ascii="ＭＳ 明朝" w:hAnsi="ＭＳ 明朝" w:eastAsia="ＭＳ 明朝"/>
          <w:sz w:val="24"/>
          <w:shd w:val="pct15" w:color="auto" w:fill="FFFFFF"/>
        </w:rPr>
        <w:t>３　対象等</w:t>
      </w:r>
    </w:p>
    <w:p>
      <w:pPr>
        <w:pStyle w:val="0"/>
        <w:spacing w:after="0" w:afterLines="0" w:afterAutospacing="0" w:line="240" w:lineRule="auto"/>
        <w:ind w:left="240" w:hanging="240" w:hangingChars="100"/>
        <w:rPr>
          <w:rFonts w:hint="default" w:ascii="ＭＳ 明朝" w:hAnsi="ＭＳ 明朝" w:eastAsia="ＭＳ 明朝"/>
          <w:sz w:val="24"/>
        </w:rPr>
      </w:pPr>
      <w:r>
        <w:rPr>
          <w:rFonts w:hint="eastAsia" w:ascii="ＭＳ 明朝" w:hAnsi="ＭＳ 明朝" w:eastAsia="ＭＳ 明朝"/>
          <w:sz w:val="24"/>
        </w:rPr>
        <w:t>　　２００万円以上の公共工事</w:t>
      </w:r>
    </w:p>
    <w:p>
      <w:pPr>
        <w:pStyle w:val="0"/>
        <w:spacing w:after="0" w:afterLines="0" w:afterAutospacing="0" w:line="240" w:lineRule="auto"/>
        <w:ind w:left="240" w:hanging="240" w:hangingChars="100"/>
        <w:rPr>
          <w:rFonts w:hint="eastAsia" w:ascii="ＭＳ 明朝" w:hAnsi="ＭＳ 明朝" w:eastAsia="ＭＳ 明朝"/>
          <w:sz w:val="24"/>
        </w:rPr>
      </w:pPr>
      <w:r>
        <w:rPr>
          <w:rFonts w:hint="eastAsia" w:ascii="ＭＳ 明朝" w:hAnsi="ＭＳ 明朝" w:eastAsia="ＭＳ 明朝"/>
          <w:sz w:val="24"/>
        </w:rPr>
        <w:t>　　（工事に掛かる業務委託、随意契約については対象外）</w:t>
      </w:r>
    </w:p>
    <w:p>
      <w:pPr>
        <w:pStyle w:val="0"/>
        <w:spacing w:after="0" w:afterLines="0" w:afterAutospacing="0" w:line="240" w:lineRule="auto"/>
        <w:ind w:left="240" w:hanging="240" w:hangingChars="100"/>
        <w:rPr>
          <w:rFonts w:hint="default" w:ascii="ＭＳ 明朝" w:hAnsi="ＭＳ 明朝" w:eastAsia="ＭＳ 明朝"/>
          <w:sz w:val="24"/>
        </w:rPr>
      </w:pPr>
    </w:p>
    <w:p>
      <w:pPr>
        <w:pStyle w:val="0"/>
        <w:spacing w:after="0" w:afterLines="0" w:afterAutospacing="0" w:line="240" w:lineRule="auto"/>
        <w:rPr>
          <w:rFonts w:hint="default" w:ascii="ＭＳ 明朝" w:hAnsi="ＭＳ 明朝" w:eastAsia="ＭＳ 明朝"/>
          <w:sz w:val="24"/>
          <w:shd w:val="pct15" w:color="auto" w:fill="FFFFFF"/>
        </w:rPr>
      </w:pPr>
      <w:r>
        <w:rPr>
          <w:rFonts w:hint="eastAsia" w:ascii="ＭＳ 明朝" w:hAnsi="ＭＳ 明朝" w:eastAsia="ＭＳ 明朝"/>
          <w:sz w:val="24"/>
          <w:shd w:val="pct15" w:color="auto" w:fill="FFFFFF"/>
        </w:rPr>
        <w:t>４　実施期間</w:t>
      </w:r>
    </w:p>
    <w:p>
      <w:pPr>
        <w:pStyle w:val="0"/>
        <w:spacing w:after="0" w:afterLines="0" w:afterAutospacing="0" w:line="240" w:lineRule="auto"/>
        <w:rPr>
          <w:rFonts w:hint="default" w:ascii="ＭＳ 明朝" w:hAnsi="ＭＳ 明朝" w:eastAsia="ＭＳ 明朝"/>
          <w:sz w:val="24"/>
        </w:rPr>
      </w:pPr>
      <w:r>
        <w:rPr>
          <w:rFonts w:hint="eastAsia" w:ascii="ＭＳ 明朝" w:hAnsi="ＭＳ 明朝" w:eastAsia="ＭＳ 明朝"/>
          <w:sz w:val="24"/>
        </w:rPr>
        <w:t>　　令和８年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日より</w:t>
      </w:r>
    </w:p>
    <w:sectPr>
      <w:footerReference r:id="rId5" w:type="default"/>
      <w:pgSz w:w="11906" w:h="16838"/>
      <w:pgMar w:top="1701" w:right="1418" w:bottom="1134" w:left="1418"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4113701"/>
      <w:docPartObj>
        <w:docPartGallery w:val="Page Numbers (Bottom of Page)"/>
        <w:docPartUnique/>
      </w:docPartObj>
    </w:sdtPr>
    <w:sdtEndPr>
      <w:rPr>
        <w:rFonts w:hint="default" w:ascii="ＭＳ ゴシック" w:hAnsi="ＭＳ ゴシック" w:eastAsia="ＭＳ ゴシック"/>
      </w:rPr>
    </w:sdtEndPr>
    <w:sdtContent>
      <w:p>
        <w:pPr>
          <w:pStyle w:val="3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eastAsia="ＭＳ ゴシック"/>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after="160" w:afterLines="0" w:afterAutospacing="0" w:line="259" w:lineRule="auto"/>
      </w:pPr>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line="240" w:lineRule="auto"/>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1646</TotalTime>
  <Pages>1</Pages>
  <Words>55</Words>
  <Characters>319</Characters>
  <Application>JUST Note</Application>
  <Lines>2</Lines>
  <Paragraphs>1</Paragraphs>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佑樹 (Shimizu Yuki)</dc:creator>
  <cp:lastModifiedBy>清水 佑樹 (Shimizu Yuki)</cp:lastModifiedBy>
  <cp:lastPrinted>2026-03-29T06:15:00Z</cp:lastPrinted>
  <dcterms:created xsi:type="dcterms:W3CDTF">2025-11-25T13:11:00Z</dcterms:created>
  <dcterms:modified xsi:type="dcterms:W3CDTF">2026-03-31T09:01:16Z</dcterms:modified>
  <cp:revision>30</cp:revision>
</cp:coreProperties>
</file>