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AR P丸ゴシック体E" w:hAnsi="AR P丸ゴシック体E" w:eastAsia="AR P丸ゴシック体E"/>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149225</wp:posOffset>
                </wp:positionH>
                <wp:positionV relativeFrom="paragraph">
                  <wp:posOffset>-497840</wp:posOffset>
                </wp:positionV>
                <wp:extent cx="4886325" cy="561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886325" cy="56197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居宅介護支援事業所における特定事業所集中減算の取扱いについて</w:t>
                            </w:r>
                          </w:p>
                        </w:txbxContent>
                      </wps:txbx>
                      <wps:bodyPr vertOverflow="overflow" horzOverflow="overflow" wrap="square" anchor="ctr"/>
                    </wps:wsp>
                  </a:graphicData>
                </a:graphic>
              </wp:anchor>
            </w:drawing>
          </mc:Choice>
          <mc:Fallback>
            <w:pict>
              <v:rect id="オブジェクト 0" style="v-text-anchor:middle;mso-wrap-distance-top:0pt;mso-wrap-distance-right:5.65pt;mso-wrap-distance-left:5.65pt;mso-wrap-distance-bottom:0pt;margin-top:-39.200000000000003pt;margin-left:11.75pt;mso-position-horizontal-relative:text;mso-position-vertical-relative:text;position:absolute;height:44.25pt;width:384.75pt;z-index:2;" o:spid="_x0000_s1026" o:allowincell="t" o:allowoverlap="t" filled="t" fillcolor="#ffffff [3201]" stroked="t" strokecolor="#000000 [3200]" strokeweight="2pt" o:spt="1">
                <v:fill/>
                <v:stroke linestyle="single" endcap="flat" dashstyle="solid" filltype="solid"/>
                <v:textbox style="layout-flow:horizontal;">
                  <w:txbxContent>
                    <w:p>
                      <w:pPr>
                        <w:pStyle w:val="0"/>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居宅介護支援事業所における特定事業所集中減算の取扱いについて</w:t>
                      </w:r>
                    </w:p>
                  </w:txbxContent>
                </v:textbox>
                <v:imagedata o:title=""/>
                <w10:wrap type="none" anchorx="text" anchory="text"/>
              </v:rect>
            </w:pict>
          </mc:Fallback>
        </mc:AlternateContent>
      </w:r>
    </w:p>
    <w:p>
      <w:pPr>
        <w:pStyle w:val="0"/>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１　特定事業所集中減算の概要</w:t>
      </w:r>
    </w:p>
    <w:p>
      <w:pPr>
        <w:pStyle w:val="0"/>
        <w:rPr>
          <w:rFonts w:hint="eastAsia" w:ascii="HG丸ｺﾞｼｯｸM-PRO" w:hAnsi="HG丸ｺﾞｼｯｸM-PRO" w:eastAsia="HG丸ｺﾞｼｯｸM-PRO"/>
          <w:b w:val="0"/>
          <w:sz w:val="22"/>
        </w:rPr>
      </w:pPr>
      <w:r>
        <w:rPr>
          <w:rFonts w:hint="eastAsia" w:ascii="AR P丸ゴシック体E" w:hAnsi="AR P丸ゴシック体E" w:eastAsia="AR P丸ゴシック体E"/>
          <w:sz w:val="22"/>
        </w:rPr>
        <w:t>　</w:t>
      </w:r>
      <w:r>
        <w:rPr>
          <w:rFonts w:hint="eastAsia" w:ascii="HG丸ｺﾞｼｯｸM-PRO" w:hAnsi="HG丸ｺﾞｼｯｸM-PRO" w:eastAsia="HG丸ｺﾞｼｯｸM-PRO"/>
          <w:b w:val="0"/>
          <w:sz w:val="22"/>
        </w:rPr>
        <w:t>特定事業所集中減算は、居宅介護支援の公正中立の原則について遵守を図る趣旨の減算です。判定期間に作成された居宅サービス計画のうち、給付管理の対象となっている居宅サービスが位置付けられた居宅サービス計画の数をそれぞれ算出し、最もその紹介率の高い法人（以下「紹介率最高法人」という。）を位置付けた居宅サービス計画の数の占める割合を計算し、いずれかについて、正当な理由なく</w:t>
      </w:r>
      <w:r>
        <w:rPr>
          <w:rFonts w:hint="eastAsia" w:ascii="HG丸ｺﾞｼｯｸM-PRO" w:hAnsi="HG丸ｺﾞｼｯｸM-PRO" w:eastAsia="HG丸ｺﾞｼｯｸM-PRO"/>
          <w:b w:val="0"/>
          <w:sz w:val="22"/>
        </w:rPr>
        <w:t>80</w:t>
      </w:r>
      <w:r>
        <w:rPr>
          <w:rFonts w:hint="eastAsia" w:ascii="HG丸ｺﾞｼｯｸM-PRO" w:hAnsi="HG丸ｺﾞｼｯｸM-PRO" w:eastAsia="HG丸ｺﾞｼｯｸM-PRO"/>
          <w:b w:val="0"/>
          <w:sz w:val="22"/>
        </w:rPr>
        <w:t>％を超えた場合に、すべての居宅サービス計画に係る居宅介護支援費について</w:t>
      </w:r>
      <w:r>
        <w:rPr>
          <w:rFonts w:hint="eastAsia" w:ascii="HG丸ｺﾞｼｯｸM-PRO" w:hAnsi="HG丸ｺﾞｼｯｸM-PRO" w:eastAsia="HG丸ｺﾞｼｯｸM-PRO"/>
          <w:b w:val="0"/>
          <w:sz w:val="22"/>
        </w:rPr>
        <w:t>200</w:t>
      </w:r>
      <w:r>
        <w:rPr>
          <w:rFonts w:hint="eastAsia" w:ascii="HG丸ｺﾞｼｯｸM-PRO" w:hAnsi="HG丸ｺﾞｼｯｸM-PRO" w:eastAsia="HG丸ｺﾞｼｯｸM-PRO"/>
          <w:b w:val="0"/>
          <w:sz w:val="22"/>
        </w:rPr>
        <w:t>単位減算されるものです。</w:t>
      </w:r>
    </w:p>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２　判定期間、減算期間等</w:t>
      </w:r>
    </w:p>
    <w:tbl>
      <w:tblPr>
        <w:tblStyle w:val="17"/>
        <w:tblW w:w="0" w:type="auto"/>
        <w:tblInd w:w="0" w:type="dxa"/>
        <w:tblLayout w:type="fixed"/>
        <w:tblLook w:firstRow="1" w:lastRow="0" w:firstColumn="1" w:lastColumn="0" w:noHBand="0" w:noVBand="1" w:val="04A0"/>
      </w:tblPr>
      <w:tblGrid>
        <w:gridCol w:w="1368"/>
        <w:gridCol w:w="2730"/>
        <w:gridCol w:w="3150"/>
      </w:tblGrid>
      <w:tr>
        <w:trPr/>
        <w:tc>
          <w:tcPr>
            <w:tcW w:w="1368" w:type="dxa"/>
            <w:vAlign w:val="top"/>
          </w:tcPr>
          <w:p>
            <w:pPr>
              <w:pStyle w:val="0"/>
              <w:rPr>
                <w:rFonts w:hint="eastAsia" w:ascii="HG丸ｺﾞｼｯｸM-PRO" w:hAnsi="HG丸ｺﾞｼｯｸM-PRO" w:eastAsia="HG丸ｺﾞｼｯｸM-PRO"/>
                <w:sz w:val="22"/>
              </w:rPr>
            </w:pPr>
          </w:p>
        </w:tc>
        <w:tc>
          <w:tcPr>
            <w:tcW w:w="2730" w:type="dxa"/>
            <w:vAlign w:val="top"/>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判定期間</w:t>
            </w:r>
          </w:p>
        </w:tc>
        <w:tc>
          <w:tcPr>
            <w:tcW w:w="3150" w:type="dxa"/>
            <w:vAlign w:val="top"/>
          </w:tcPr>
          <w:p>
            <w:pPr>
              <w:pStyle w:val="0"/>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減算適用期間</w:t>
            </w:r>
          </w:p>
        </w:tc>
      </w:tr>
      <w:tr>
        <w:trPr/>
        <w:tc>
          <w:tcPr>
            <w:tcW w:w="1368"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前期</w:t>
            </w:r>
          </w:p>
        </w:tc>
        <w:tc>
          <w:tcPr>
            <w:tcW w:w="2730"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日～</w:t>
            </w:r>
            <w:r>
              <w:rPr>
                <w:rFonts w:hint="eastAsia" w:ascii="HG丸ｺﾞｼｯｸM-PRO" w:hAnsi="HG丸ｺﾞｼｯｸM-PRO" w:eastAsia="HG丸ｺﾞｼｯｸM-PRO"/>
                <w:sz w:val="22"/>
              </w:rPr>
              <w:t>8</w:t>
            </w:r>
            <w:r>
              <w:rPr>
                <w:rFonts w:hint="eastAsia" w:ascii="HG丸ｺﾞｼｯｸM-PRO" w:hAnsi="HG丸ｺﾞｼｯｸM-PRO" w:eastAsia="HG丸ｺﾞｼｯｸM-PRO"/>
                <w:sz w:val="22"/>
              </w:rPr>
              <w:t>月末日</w:t>
            </w:r>
          </w:p>
        </w:tc>
        <w:tc>
          <w:tcPr>
            <w:tcW w:w="3150"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１０月</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日～</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31</w:t>
            </w:r>
            <w:r>
              <w:rPr>
                <w:rFonts w:hint="eastAsia" w:ascii="HG丸ｺﾞｼｯｸM-PRO" w:hAnsi="HG丸ｺﾞｼｯｸM-PRO" w:eastAsia="HG丸ｺﾞｼｯｸM-PRO"/>
                <w:sz w:val="22"/>
              </w:rPr>
              <w:t>日</w:t>
            </w:r>
          </w:p>
        </w:tc>
      </w:tr>
      <w:tr>
        <w:trPr/>
        <w:tc>
          <w:tcPr>
            <w:tcW w:w="1368"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後期</w:t>
            </w:r>
          </w:p>
        </w:tc>
        <w:tc>
          <w:tcPr>
            <w:tcW w:w="2730" w:type="dxa"/>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9</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日～</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月末日</w:t>
            </w:r>
          </w:p>
        </w:tc>
        <w:tc>
          <w:tcPr>
            <w:tcW w:w="3150" w:type="dxa"/>
            <w:vAlign w:val="top"/>
          </w:tcPr>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4</w:t>
            </w:r>
            <w:r>
              <w:rPr>
                <w:rFonts w:hint="eastAsia" w:ascii="HG丸ｺﾞｼｯｸM-PRO" w:hAnsi="HG丸ｺﾞｼｯｸM-PRO" w:eastAsia="HG丸ｺﾞｼｯｸM-PRO"/>
                <w:sz w:val="22"/>
              </w:rPr>
              <w:t>月</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日～９月</w:t>
            </w:r>
            <w:r>
              <w:rPr>
                <w:rFonts w:hint="eastAsia" w:ascii="HG丸ｺﾞｼｯｸM-PRO" w:hAnsi="HG丸ｺﾞｼｯｸM-PRO" w:eastAsia="HG丸ｺﾞｼｯｸM-PRO"/>
                <w:sz w:val="22"/>
              </w:rPr>
              <w:t>30</w:t>
            </w:r>
            <w:r>
              <w:rPr>
                <w:rFonts w:hint="eastAsia" w:ascii="HG丸ｺﾞｼｯｸM-PRO" w:hAnsi="HG丸ｺﾞｼｯｸM-PRO" w:eastAsia="HG丸ｺﾞｼｯｸM-PRO"/>
                <w:sz w:val="22"/>
              </w:rPr>
              <w:t>日</w:t>
            </w:r>
          </w:p>
        </w:tc>
      </w:tr>
    </w:tbl>
    <w:p>
      <w:pPr>
        <w:pStyle w:val="0"/>
        <w:rPr>
          <w:rFonts w:hint="eastAsia" w:ascii="AR P丸ゴシック体E" w:hAnsi="AR P丸ゴシック体E" w:eastAsia="AR P丸ゴシック体E"/>
        </w:rPr>
      </w:pPr>
    </w:p>
    <w:p>
      <w:pPr>
        <w:pStyle w:val="0"/>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３　判定から審査の流れ</w:t>
      </w:r>
    </w:p>
    <w:p>
      <w:pPr>
        <w:pStyle w:val="0"/>
        <w:rPr>
          <w:rFonts w:hint="eastAsia" w:ascii="HG丸ｺﾞｼｯｸM-PRO" w:hAnsi="HG丸ｺﾞｼｯｸM-PRO" w:eastAsia="HG丸ｺﾞｼｯｸM-PRO"/>
          <w:sz w:val="22"/>
        </w:rPr>
      </w:pPr>
      <w:r>
        <w:rPr>
          <w:rFonts w:hint="eastAsia" w:ascii="AR P丸ゴシック体E" w:hAnsi="AR P丸ゴシック体E" w:eastAsia="AR P丸ゴシック体E"/>
          <w:sz w:val="22"/>
        </w:rPr>
        <w:t>　</w:t>
      </w:r>
      <w:r>
        <w:rPr>
          <w:rFonts w:hint="eastAsia" w:ascii="HG丸ｺﾞｼｯｸM-PRO" w:hAnsi="HG丸ｺﾞｼｯｸM-PRO" w:eastAsia="HG丸ｺﾞｼｯｸM-PRO"/>
          <w:sz w:val="22"/>
        </w:rPr>
        <w:t>判定期間ごとに、全事業所において</w:t>
      </w:r>
      <w:r>
        <w:rPr>
          <w:rFonts w:hint="eastAsia" w:ascii="HG丸ｺﾞｼｯｸM-PRO" w:hAnsi="HG丸ｺﾞｼｯｸM-PRO" w:eastAsia="HG丸ｺﾞｼｯｸM-PRO"/>
          <w:sz w:val="22"/>
        </w:rPr>
        <w:t>80</w:t>
      </w:r>
      <w:r>
        <w:rPr>
          <w:rFonts w:hint="eastAsia" w:ascii="HG丸ｺﾞｼｯｸM-PRO" w:hAnsi="HG丸ｺﾞｼｯｸM-PRO" w:eastAsia="HG丸ｺﾞｼｯｸM-PRO"/>
          <w:sz w:val="22"/>
        </w:rPr>
        <w:t>％超過がないか確認を行い、正当な理由の有無に関わらず</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事業所でも</w:t>
      </w:r>
      <w:r>
        <w:rPr>
          <w:rFonts w:hint="eastAsia" w:ascii="HG丸ｺﾞｼｯｸM-PRO" w:hAnsi="HG丸ｺﾞｼｯｸM-PRO" w:eastAsia="HG丸ｺﾞｼｯｸM-PRO"/>
          <w:sz w:val="22"/>
        </w:rPr>
        <w:t>80</w:t>
      </w:r>
      <w:r>
        <w:rPr>
          <w:rFonts w:hint="eastAsia" w:ascii="HG丸ｺﾞｼｯｸM-PRO" w:hAnsi="HG丸ｺﾞｼｯｸM-PRO" w:eastAsia="HG丸ｺﾞｼｯｸM-PRO"/>
          <w:sz w:val="22"/>
        </w:rPr>
        <w:t>％を超過する場合には市に提出を行う必要があります。期日までに市に提出がない場合は、正当な理由の有無に関わらず減算が適用となりますので注意してください。</w:t>
      </w: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1781175</wp:posOffset>
                </wp:positionH>
                <wp:positionV relativeFrom="paragraph">
                  <wp:posOffset>153035</wp:posOffset>
                </wp:positionV>
                <wp:extent cx="1552575" cy="6477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552575" cy="647700"/>
                        </a:xfrm>
                        <a:prstGeom prst="roundRect">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いずれのサービスも</w:t>
                            </w:r>
                            <w:r>
                              <w:rPr>
                                <w:rFonts w:hint="eastAsia" w:ascii="HG丸ｺﾞｼｯｸM-PRO" w:hAnsi="HG丸ｺﾞｼｯｸM-PRO" w:eastAsia="HG丸ｺﾞｼｯｸM-PRO"/>
                              </w:rPr>
                              <w:t>80</w:t>
                            </w:r>
                            <w:r>
                              <w:rPr>
                                <w:rFonts w:hint="eastAsia" w:ascii="HG丸ｺﾞｼｯｸM-PRO" w:hAnsi="HG丸ｺﾞｼｯｸM-PRO" w:eastAsia="HG丸ｺﾞｼｯｸM-PRO"/>
                              </w:rPr>
                              <w:t>％を超えない。</w:t>
                            </w:r>
                          </w:p>
                        </w:txbxContent>
                      </wps:txbx>
                      <wps:bodyPr vertOverflow="overflow" horzOverflow="overflow" wrap="square" anchor="ctr"/>
                    </wps:wsp>
                  </a:graphicData>
                </a:graphic>
              </wp:anchor>
            </w:drawing>
          </mc:Choice>
          <mc:Fallback>
            <w:pict>
              <v:roundrect id="オブジェクト 0" style="v-text-anchor:middle;mso-wrap-distance-top:0pt;mso-wrap-distance-right:5.65pt;mso-wrap-distance-left:5.65pt;mso-wrap-distance-bottom:0pt;margin-top:12.05pt;margin-left:140.25pt;mso-position-horizontal-relative:text;mso-position-vertical-relative:text;position:absolute;height:51pt;width:122.25pt;z-index:5;" o:spid="_x0000_s1027" o:allowincell="t" o:allowoverlap="t" filled="t" fillcolor="#ffffff [3201]" stroked="t" strokecolor="#ffc000" strokeweight="2pt" o:spt="2" arcsize="10923f">
                <v:fill/>
                <v:stroke linestyle="single" endcap="flat" dashstyle="solid" filltype="solid"/>
                <v:textbox style="layout-flow:horizontal;">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いずれのサービスも</w:t>
                      </w:r>
                      <w:r>
                        <w:rPr>
                          <w:rFonts w:hint="eastAsia" w:ascii="HG丸ｺﾞｼｯｸM-PRO" w:hAnsi="HG丸ｺﾞｼｯｸM-PRO" w:eastAsia="HG丸ｺﾞｼｯｸM-PRO"/>
                        </w:rPr>
                        <w:t>80</w:t>
                      </w:r>
                      <w:r>
                        <w:rPr>
                          <w:rFonts w:hint="eastAsia" w:ascii="HG丸ｺﾞｼｯｸM-PRO" w:hAnsi="HG丸ｺﾞｼｯｸM-PRO" w:eastAsia="HG丸ｺﾞｼｯｸM-PRO"/>
                        </w:rPr>
                        <w:t>％を超えない。</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4016375</wp:posOffset>
                </wp:positionH>
                <wp:positionV relativeFrom="paragraph">
                  <wp:posOffset>153035</wp:posOffset>
                </wp:positionV>
                <wp:extent cx="1343025" cy="6477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343025" cy="647700"/>
                        </a:xfrm>
                        <a:prstGeom prst="flowChartProcess">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u w:val="double" w:color="auto"/>
                              </w:rPr>
                              <w:t>提出不要。</w:t>
                            </w:r>
                            <w:r>
                              <w:rPr>
                                <w:rFonts w:hint="eastAsia" w:ascii="HG丸ｺﾞｼｯｸM-PRO" w:hAnsi="HG丸ｺﾞｼｯｸM-PRO" w:eastAsia="HG丸ｺﾞｼｯｸM-PRO"/>
                                <w:u w:val="none" w:color="auto"/>
                              </w:rPr>
                              <w:t>事業所に</w:t>
                            </w:r>
                            <w:r>
                              <w:rPr>
                                <w:rFonts w:hint="eastAsia" w:ascii="HG丸ｺﾞｼｯｸM-PRO" w:hAnsi="HG丸ｺﾞｼｯｸM-PRO" w:eastAsia="HG丸ｺﾞｼｯｸM-PRO"/>
                                <w:u w:val="none" w:color="auto"/>
                              </w:rPr>
                              <w:t>2</w:t>
                            </w:r>
                            <w:r>
                              <w:rPr>
                                <w:rFonts w:hint="eastAsia" w:ascii="HG丸ｺﾞｼｯｸM-PRO" w:hAnsi="HG丸ｺﾞｼｯｸM-PRO" w:eastAsia="HG丸ｺﾞｼｯｸM-PRO"/>
                                <w:u w:val="none" w:color="auto"/>
                              </w:rPr>
                              <w:t>年間保管。</w:t>
                            </w:r>
                          </w:p>
                        </w:txbxContent>
                      </wps:txbx>
                      <wps:bodyPr vertOverflow="overflow" horzOverflow="overflow" wrap="square" anchor="ctr"/>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so-wrap-distance-top:0pt;mso-wrap-distance-right:16pt;mso-wrap-distance-left:16pt;mso-wrap-distance-bottom:0pt;margin-top:12.05pt;margin-left:316.25pt;mso-position-horizontal-relative:text;mso-position-vertical-relative:text;position:absolute;height:51pt;width:105.75pt;z-index:7;" o:spid="_x0000_s1028" o:allowincell="t" o:allowoverlap="t" filled="t" fillcolor="#ffffff [3201]" stroked="t" strokecolor="#ffc000" strokeweight="2pt" o:spt="109" type="#_x0000_t109">
                <v:fill/>
                <v:stroke linestyle="single" endcap="flat" dashstyle="solid" filltype="solid"/>
                <v:textbox style="layout-flow:horizontal;">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u w:val="double" w:color="auto"/>
                        </w:rPr>
                        <w:t>提出不要。</w:t>
                      </w:r>
                      <w:r>
                        <w:rPr>
                          <w:rFonts w:hint="eastAsia" w:ascii="HG丸ｺﾞｼｯｸM-PRO" w:hAnsi="HG丸ｺﾞｼｯｸM-PRO" w:eastAsia="HG丸ｺﾞｼｯｸM-PRO"/>
                          <w:u w:val="none" w:color="auto"/>
                        </w:rPr>
                        <w:t>事業所に</w:t>
                      </w:r>
                      <w:r>
                        <w:rPr>
                          <w:rFonts w:hint="eastAsia" w:ascii="HG丸ｺﾞｼｯｸM-PRO" w:hAnsi="HG丸ｺﾞｼｯｸM-PRO" w:eastAsia="HG丸ｺﾞｼｯｸM-PRO"/>
                          <w:u w:val="none" w:color="auto"/>
                        </w:rPr>
                        <w:t>2</w:t>
                      </w:r>
                      <w:r>
                        <w:rPr>
                          <w:rFonts w:hint="eastAsia" w:ascii="HG丸ｺﾞｼｯｸM-PRO" w:hAnsi="HG丸ｺﾞｼｯｸM-PRO" w:eastAsia="HG丸ｺﾞｼｯｸM-PRO"/>
                          <w:u w:val="none" w:color="auto"/>
                        </w:rPr>
                        <w:t>年間保管。</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-412750</wp:posOffset>
                </wp:positionH>
                <wp:positionV relativeFrom="paragraph">
                  <wp:posOffset>153035</wp:posOffset>
                </wp:positionV>
                <wp:extent cx="1514475" cy="6477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514475" cy="647700"/>
                        </a:xfrm>
                        <a:prstGeom prst="roundRect">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届出書を作成する。（全事業所）</w:t>
                            </w:r>
                          </w:p>
                        </w:txbxContent>
                      </wps:txbx>
                      <wps:bodyPr vertOverflow="overflow" horzOverflow="overflow" wrap="square" anchor="ctr"/>
                    </wps:wsp>
                  </a:graphicData>
                </a:graphic>
              </wp:anchor>
            </w:drawing>
          </mc:Choice>
          <mc:Fallback>
            <w:pict>
              <v:roundrect id="オブジェクト 0" style="v-text-anchor:middle;mso-wrap-distance-top:0pt;mso-wrap-distance-right:5.65pt;mso-wrap-distance-left:5.65pt;mso-wrap-distance-bottom:0pt;margin-top:12.05pt;margin-left:-32.5pt;mso-position-horizontal-relative:text;mso-position-vertical-relative:text;position:absolute;height:51pt;width:119.25pt;z-index:3;" o:spid="_x0000_s1029" o:allowincell="t" o:allowoverlap="t" filled="t" fillcolor="#ffffff [3201]" stroked="t" strokecolor="#ffc000" strokeweight="2pt" o:spt="2" arcsize="10923f">
                <v:fill/>
                <v:stroke linestyle="single" endcap="flat" dashstyle="solid" filltype="solid"/>
                <v:textbox style="layout-flow:horizontal;">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届出書を作成する。（全事業所）</w:t>
                      </w:r>
                    </w:p>
                  </w:txbxContent>
                </v:textbox>
                <v:imagedata o:title=""/>
                <w10:wrap type="none" anchorx="text" anchory="text"/>
              </v:roundrect>
            </w:pict>
          </mc:Fallback>
        </mc:AlternateContent>
      </w: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1235075</wp:posOffset>
                </wp:positionH>
                <wp:positionV relativeFrom="paragraph">
                  <wp:posOffset>48260</wp:posOffset>
                </wp:positionV>
                <wp:extent cx="400050" cy="4000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400050" cy="400050"/>
                        </a:xfrm>
                        <a:prstGeom prst="rightArrow">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top:0pt;mso-wrap-distance-right:5.65pt;mso-wrap-distance-left:5.65pt;mso-wrap-distance-bottom:0pt;margin-top:3.8pt;margin-left:97.25pt;mso-position-horizontal-relative:text;mso-position-vertical-relative:text;position:absolute;height:31.5pt;width:31.5pt;z-index:4;" o:spid="_x0000_s1030" o:allowincell="t" o:allowoverlap="t" filled="t" fillcolor="#ffffff [3201]" stroked="t" strokecolor="#ffc000"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column">
                  <wp:posOffset>3476625</wp:posOffset>
                </wp:positionH>
                <wp:positionV relativeFrom="paragraph">
                  <wp:posOffset>48260</wp:posOffset>
                </wp:positionV>
                <wp:extent cx="400050" cy="4000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400050" cy="400050"/>
                        </a:xfrm>
                        <a:prstGeom prst="rightArrow">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top:0pt;mso-wrap-distance-right:5.65pt;mso-wrap-distance-left:5.65pt;mso-wrap-distance-bottom:0pt;margin-top:3.8pt;margin-left:273.75pt;mso-position-horizontal-relative:text;mso-position-vertical-relative:text;position:absolute;height:31.5pt;width:31.5pt;z-index:6;" o:spid="_x0000_s1031" o:allowincell="t" o:allowoverlap="t" filled="t" fillcolor="#ffffff [3201]" stroked="t" strokecolor="#ffc000" strokeweight="2pt" o:spt="13" type="#_x0000_t13" adj="10800,5400">
                <v:fill/>
                <v:stroke linestyle="single" endcap="flat" dashstyle="solid" filltype="solid"/>
                <v:textbox style="layout-flow:horizontal;"/>
                <v:imagedata o:title=""/>
                <w10:wrap type="none" anchorx="text" anchory="text"/>
              </v:shape>
            </w:pict>
          </mc:Fallback>
        </mc:AlternateConten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149225</wp:posOffset>
                </wp:positionH>
                <wp:positionV relativeFrom="paragraph">
                  <wp:posOffset>38735</wp:posOffset>
                </wp:positionV>
                <wp:extent cx="457200" cy="27622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457200" cy="276225"/>
                        </a:xfrm>
                        <a:prstGeom prst="downArrow">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top:0pt;mso-wrap-distance-right:16pt;mso-wrap-distance-left:16pt;mso-wrap-distance-bottom:0pt;margin-top:3.05pt;margin-left:11.75pt;mso-position-horizontal-relative:text;mso-position-vertical-relative:text;position:absolute;height:21.75pt;width:36pt;z-index:8;" o:spid="_x0000_s1032" o:allowincell="t" o:allowoverlap="t" filled="t" fillcolor="#ffffff [3201]" stroked="t" strokecolor="#ffc000"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4772025</wp:posOffset>
                </wp:positionH>
                <wp:positionV relativeFrom="paragraph">
                  <wp:posOffset>38735</wp:posOffset>
                </wp:positionV>
                <wp:extent cx="457200" cy="27622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457200" cy="276225"/>
                        </a:xfrm>
                        <a:prstGeom prst="downArrow">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top:0pt;mso-wrap-distance-right:16pt;mso-wrap-distance-left:16pt;mso-wrap-distance-bottom:0pt;margin-top:3.05pt;margin-left:375.75pt;mso-position-horizontal-relative:text;mso-position-vertical-relative:text;position:absolute;height:21.75pt;width:36pt;z-index:12;" o:spid="_x0000_s1033" o:allowincell="t" o:allowoverlap="t" filled="t" fillcolor="#ffffff [3201]" stroked="t" strokecolor="#ffc000" strokeweight="2pt" o:spt="67" type="#_x0000_t67" adj="10800,5400">
                <v:fill/>
                <v:stroke linestyle="single" endcap="flat" dashstyle="solid" filltype="solid"/>
                <v:textbox style="layout-flow:horizontal;"/>
                <v:imagedata o:title=""/>
                <w10:wrap type="none" anchorx="text" anchory="text"/>
              </v:shape>
            </w:pict>
          </mc:Fallback>
        </mc:AlternateContent>
      </w: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-412750</wp:posOffset>
                </wp:positionH>
                <wp:positionV relativeFrom="paragraph">
                  <wp:posOffset>168275</wp:posOffset>
                </wp:positionV>
                <wp:extent cx="1552575" cy="64770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552575" cy="647700"/>
                        </a:xfrm>
                        <a:prstGeom prst="roundRect">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いずれかのサービスで</w:t>
                            </w:r>
                            <w:r>
                              <w:rPr>
                                <w:rFonts w:hint="eastAsia" w:ascii="HG丸ｺﾞｼｯｸM-PRO" w:hAnsi="HG丸ｺﾞｼｯｸM-PRO" w:eastAsia="HG丸ｺﾞｼｯｸM-PRO"/>
                              </w:rPr>
                              <w:t>80</w:t>
                            </w:r>
                            <w:r>
                              <w:rPr>
                                <w:rFonts w:hint="eastAsia" w:ascii="HG丸ｺﾞｼｯｸM-PRO" w:hAnsi="HG丸ｺﾞｼｯｸM-PRO" w:eastAsia="HG丸ｺﾞｼｯｸM-PRO"/>
                              </w:rPr>
                              <w:t>％を超える。</w:t>
                            </w:r>
                          </w:p>
                        </w:txbxContent>
                      </wps:txbx>
                      <wps:bodyPr vertOverflow="overflow" horzOverflow="overflow" wrap="square" anchor="ctr"/>
                    </wps:wsp>
                  </a:graphicData>
                </a:graphic>
              </wp:anchor>
            </w:drawing>
          </mc:Choice>
          <mc:Fallback>
            <w:pict>
              <v:roundrect id="オブジェクト 0" style="v-text-anchor:middle;mso-wrap-distance-top:0pt;mso-wrap-distance-right:5.65pt;mso-wrap-distance-left:5.65pt;mso-wrap-distance-bottom:0pt;margin-top:13.25pt;margin-left:-32.5pt;mso-position-horizontal-relative:text;mso-position-vertical-relative:text;position:absolute;height:51pt;width:122.25pt;z-index:9;" o:spid="_x0000_s1034" o:allowincell="t" o:allowoverlap="t" filled="t" fillcolor="#ffffff [3201]" stroked="t" strokecolor="#ffc000" strokeweight="2pt" o:spt="2" arcsize="10923f">
                <v:fill/>
                <v:stroke linestyle="single" endcap="flat" dashstyle="solid" filltype="solid"/>
                <v:textbox style="layout-flow:horizontal;">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いずれかのサービスで</w:t>
                      </w:r>
                      <w:r>
                        <w:rPr>
                          <w:rFonts w:hint="eastAsia" w:ascii="HG丸ｺﾞｼｯｸM-PRO" w:hAnsi="HG丸ｺﾞｼｯｸM-PRO" w:eastAsia="HG丸ｺﾞｼｯｸM-PRO"/>
                        </w:rPr>
                        <w:t>80</w:t>
                      </w:r>
                      <w:r>
                        <w:rPr>
                          <w:rFonts w:hint="eastAsia" w:ascii="HG丸ｺﾞｼｯｸM-PRO" w:hAnsi="HG丸ｺﾞｼｯｸM-PRO" w:eastAsia="HG丸ｺﾞｼｯｸM-PRO"/>
                        </w:rPr>
                        <w:t>％を超える。</w:t>
                      </w: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11" behindDoc="0" locked="0" layoutInCell="1" hidden="0" allowOverlap="1">
                <wp:simplePos x="0" y="0"/>
                <wp:positionH relativeFrom="column">
                  <wp:posOffset>1781175</wp:posOffset>
                </wp:positionH>
                <wp:positionV relativeFrom="paragraph">
                  <wp:posOffset>73025</wp:posOffset>
                </wp:positionV>
                <wp:extent cx="1552575" cy="145732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1552575" cy="1457325"/>
                        </a:xfrm>
                        <a:prstGeom prst="roundRect">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rPr>
                                <w:rFonts w:hint="eastAsia" w:ascii="HG丸ｺﾞｼｯｸM-PRO" w:hAnsi="HG丸ｺﾞｼｯｸM-PRO" w:eastAsia="HG丸ｺﾞｼｯｸM-PRO"/>
                                <w:u w:val="single" w:color="auto"/>
                              </w:rPr>
                            </w:pPr>
                            <w:r>
                              <w:rPr>
                                <w:rFonts w:hint="eastAsia" w:ascii="HG丸ｺﾞｼｯｸM-PRO" w:hAnsi="HG丸ｺﾞｼｯｸM-PRO" w:eastAsia="HG丸ｺﾞｼｯｸM-PRO"/>
                              </w:rPr>
                              <w:t>正当な理由のどれに該当するかを確認し</w:t>
                            </w:r>
                            <w:r>
                              <w:rPr>
                                <w:rFonts w:hint="eastAsia" w:ascii="HG丸ｺﾞｼｯｸM-PRO" w:hAnsi="HG丸ｺﾞｼｯｸM-PRO" w:eastAsia="HG丸ｺﾞｼｯｸM-PRO"/>
                                <w:u w:val="single" w:color="auto"/>
                              </w:rPr>
                              <w:t>届出書を提出する。</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u w:val="single" w:color="auto"/>
                              </w:rPr>
                              <w:t>（控えを事業所にて</w:t>
                            </w:r>
                            <w:r>
                              <w:rPr>
                                <w:rFonts w:hint="eastAsia" w:ascii="HG丸ｺﾞｼｯｸM-PRO" w:hAnsi="HG丸ｺﾞｼｯｸM-PRO" w:eastAsia="HG丸ｺﾞｼｯｸM-PRO"/>
                                <w:u w:val="single" w:color="auto"/>
                              </w:rPr>
                              <w:t>2</w:t>
                            </w:r>
                            <w:r>
                              <w:rPr>
                                <w:rFonts w:hint="eastAsia" w:ascii="HG丸ｺﾞｼｯｸM-PRO" w:hAnsi="HG丸ｺﾞｼｯｸM-PRO" w:eastAsia="HG丸ｺﾞｼｯｸM-PRO"/>
                                <w:u w:val="single" w:color="auto"/>
                              </w:rPr>
                              <w:t>年間保管する。）</w:t>
                            </w:r>
                          </w:p>
                        </w:txbxContent>
                      </wps:txbx>
                      <wps:bodyPr vertOverflow="overflow" horzOverflow="overflow" wrap="square" anchor="ctr"/>
                    </wps:wsp>
                  </a:graphicData>
                </a:graphic>
              </wp:anchor>
            </w:drawing>
          </mc:Choice>
          <mc:Fallback>
            <w:pict>
              <v:roundrect id="オブジェクト 0" style="v-text-anchor:middle;mso-wrap-distance-top:0pt;mso-wrap-distance-right:5.65pt;mso-wrap-distance-left:5.65pt;mso-wrap-distance-bottom:0pt;margin-top:5.75pt;margin-left:140.25pt;mso-position-horizontal-relative:text;mso-position-vertical-relative:text;position:absolute;height:114.75pt;width:122.25pt;z-index:11;" o:spid="_x0000_s1035" o:allowincell="t" o:allowoverlap="t" filled="t" fillcolor="#ffffff [3201]" stroked="t" strokecolor="#ffc000" strokeweight="2pt" o:spt="2" arcsize="10923f">
                <v:fill/>
                <v:stroke linestyle="single" endcap="flat" dashstyle="solid" filltype="solid"/>
                <v:textbox style="layout-flow:horizontal;">
                  <w:txbxContent>
                    <w:p>
                      <w:pPr>
                        <w:pStyle w:val="0"/>
                        <w:rPr>
                          <w:rFonts w:hint="eastAsia" w:ascii="HG丸ｺﾞｼｯｸM-PRO" w:hAnsi="HG丸ｺﾞｼｯｸM-PRO" w:eastAsia="HG丸ｺﾞｼｯｸM-PRO"/>
                          <w:u w:val="single" w:color="auto"/>
                        </w:rPr>
                      </w:pPr>
                      <w:r>
                        <w:rPr>
                          <w:rFonts w:hint="eastAsia" w:ascii="HG丸ｺﾞｼｯｸM-PRO" w:hAnsi="HG丸ｺﾞｼｯｸM-PRO" w:eastAsia="HG丸ｺﾞｼｯｸM-PRO"/>
                        </w:rPr>
                        <w:t>正当な理由のどれに該当するかを確認し</w:t>
                      </w:r>
                      <w:r>
                        <w:rPr>
                          <w:rFonts w:hint="eastAsia" w:ascii="HG丸ｺﾞｼｯｸM-PRO" w:hAnsi="HG丸ｺﾞｼｯｸM-PRO" w:eastAsia="HG丸ｺﾞｼｯｸM-PRO"/>
                          <w:u w:val="single" w:color="auto"/>
                        </w:rPr>
                        <w:t>届出書を提出する。</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u w:val="single" w:color="auto"/>
                        </w:rPr>
                        <w:t>（控えを事業所にて</w:t>
                      </w:r>
                      <w:r>
                        <w:rPr>
                          <w:rFonts w:hint="eastAsia" w:ascii="HG丸ｺﾞｼｯｸM-PRO" w:hAnsi="HG丸ｺﾞｼｯｸM-PRO" w:eastAsia="HG丸ｺﾞｼｯｸM-PRO"/>
                          <w:u w:val="single" w:color="auto"/>
                        </w:rPr>
                        <w:t>2</w:t>
                      </w:r>
                      <w:r>
                        <w:rPr>
                          <w:rFonts w:hint="eastAsia" w:ascii="HG丸ｺﾞｼｯｸM-PRO" w:hAnsi="HG丸ｺﾞｼｯｸM-PRO" w:eastAsia="HG丸ｺﾞｼｯｸM-PRO"/>
                          <w:u w:val="single" w:color="auto"/>
                        </w:rPr>
                        <w:t>年間保管する。）</w:t>
                      </w:r>
                    </w:p>
                  </w:txbxContent>
                </v:textbox>
                <v:imagedata o:title=""/>
                <w10:wrap type="none" anchorx="text" anchory="text"/>
              </v:roundrect>
            </w:pict>
          </mc:Fallback>
        </mc:AlternateContent>
      </w: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1235075</wp:posOffset>
                </wp:positionH>
                <wp:positionV relativeFrom="paragraph">
                  <wp:posOffset>92075</wp:posOffset>
                </wp:positionV>
                <wp:extent cx="400050" cy="40005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400050" cy="400050"/>
                        </a:xfrm>
                        <a:prstGeom prst="rightArrow">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top:0pt;mso-wrap-distance-right:5.65pt;mso-wrap-distance-left:5.65pt;mso-wrap-distance-bottom:0pt;margin-top:7.25pt;margin-left:97.25pt;mso-position-horizontal-relative:text;mso-position-vertical-relative:text;position:absolute;height:31.5pt;width:31.5pt;z-index:10;" o:spid="_x0000_s1036" o:allowincell="t" o:allowoverlap="t" filled="t" fillcolor="#ffffff [3201]" stroked="t" strokecolor="#ffc000"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3" behindDoc="0" locked="0" layoutInCell="1" hidden="0" allowOverlap="1">
                <wp:simplePos x="0" y="0"/>
                <wp:positionH relativeFrom="column">
                  <wp:posOffset>3999865</wp:posOffset>
                </wp:positionH>
                <wp:positionV relativeFrom="paragraph">
                  <wp:posOffset>92075</wp:posOffset>
                </wp:positionV>
                <wp:extent cx="1588135" cy="71374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1588135" cy="713740"/>
                        </a:xfrm>
                        <a:prstGeom prst="ellipse">
                          <a:avLst/>
                        </a:prstGeom>
                      </wps:spPr>
                      <wps:style>
                        <a:lnRef idx="2">
                          <a:schemeClr val="accent1"/>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b w:val="1"/>
                              </w:rPr>
                              <w:t>減算は不要</w:t>
                            </w:r>
                          </w:p>
                        </w:txbxContent>
                      </wps:txbx>
                      <wps:bodyPr vertOverflow="overflow" horzOverflow="overflow" wrap="square" anchor="ctr"/>
                    </wps:wsp>
                  </a:graphicData>
                </a:graphic>
              </wp:anchor>
            </w:drawing>
          </mc:Choice>
          <mc:Fallback>
            <w:pict>
              <v:oval id="オブジェクト 0" style="v-text-anchor:middle;mso-wrap-distance-top:0pt;mso-wrap-distance-right:16pt;mso-wrap-distance-left:16pt;mso-wrap-distance-bottom:0pt;margin-top:7.25pt;margin-left:314.95pt;mso-position-horizontal-relative:text;mso-position-vertical-relative:text;position:absolute;height:56.2pt;width:125.05pt;z-index:13;" o:spid="_x0000_s1037" o:allowincell="t" o:allowoverlap="t" filled="t" fillcolor="#ffffff [3201]" stroked="t" strokecolor="#4f81bd [3204]" strokeweight="2pt" o:spt="3">
                <v:fill/>
                <v:stroke linestyle="single" endcap="flat" dashstyle="solid" filltype="solid"/>
                <v:textbox style="layout-flow:horizontal;">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b w:val="1"/>
                        </w:rPr>
                        <w:t>減算は不要</w:t>
                      </w:r>
                    </w:p>
                  </w:txbxContent>
                </v:textbox>
                <v:imagedata o:title=""/>
                <w10:wrap type="none" anchorx="text" anchory="text"/>
              </v:oval>
            </w:pict>
          </mc:Fallback>
        </mc:AlternateConten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71755" distR="71755" simplePos="0" relativeHeight="20" behindDoc="0" locked="0" layoutInCell="1" hidden="0" allowOverlap="1">
                <wp:simplePos x="0" y="0"/>
                <wp:positionH relativeFrom="column">
                  <wp:posOffset>-412750</wp:posOffset>
                </wp:positionH>
                <wp:positionV relativeFrom="paragraph">
                  <wp:posOffset>19050</wp:posOffset>
                </wp:positionV>
                <wp:extent cx="1819275" cy="111442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1819275" cy="1114425"/>
                        </a:xfrm>
                        <a:prstGeom prst="roundRect">
                          <a:avLst/>
                        </a:prstGeom>
                        <a:ln w="25400" cap="flat" cmpd="sng" algn="ctr">
                          <a:solidFill>
                            <a:srgbClr val="00B05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【注意】</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理由の有無に関わらず</w:t>
                            </w:r>
                            <w:r>
                              <w:rPr>
                                <w:rFonts w:hint="eastAsia" w:ascii="HG丸ｺﾞｼｯｸM-PRO" w:hAnsi="HG丸ｺﾞｼｯｸM-PRO" w:eastAsia="HG丸ｺﾞｼｯｸM-PRO"/>
                              </w:rPr>
                              <w:t>80</w:t>
                            </w:r>
                            <w:r>
                              <w:rPr>
                                <w:rFonts w:hint="eastAsia" w:ascii="HG丸ｺﾞｼｯｸM-PRO" w:hAnsi="HG丸ｺﾞｼｯｸM-PRO" w:eastAsia="HG丸ｺﾞｼｯｸM-PRO"/>
                              </w:rPr>
                              <w:t>％を超えるサービスがあれば提出を！</w:t>
                            </w:r>
                          </w:p>
                        </w:txbxContent>
                      </wps:txbx>
                      <wps:bodyPr vertOverflow="overflow" horzOverflow="overflow" wrap="square" anchor="ctr"/>
                    </wps:wsp>
                  </a:graphicData>
                </a:graphic>
              </wp:anchor>
            </w:drawing>
          </mc:Choice>
          <mc:Fallback>
            <w:pict>
              <v:roundrect id="オブジェクト 0" style="v-text-anchor:middle;mso-wrap-distance-top:0pt;mso-wrap-distance-right:5.65pt;mso-wrap-distance-left:5.65pt;mso-wrap-distance-bottom:0pt;margin-top:1.5pt;margin-left:-32.5pt;mso-position-horizontal-relative:text;mso-position-vertical-relative:text;position:absolute;height:87.75pt;width:143.25pt;z-index:20;" o:spid="_x0000_s1038" o:allowincell="t" o:allowoverlap="t" filled="t" fillcolor="#ffffff [3201]" stroked="t" strokecolor="#00b050" strokeweight="2pt" o:spt="2" arcsize="10923f">
                <v:fill/>
                <v:stroke linestyle="single" endcap="flat" dashstyle="solid" filltype="solid"/>
                <v:textbox style="layout-flow:horizontal;">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【注意】</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理由の有無に関わらず</w:t>
                      </w:r>
                      <w:r>
                        <w:rPr>
                          <w:rFonts w:hint="eastAsia" w:ascii="HG丸ｺﾞｼｯｸM-PRO" w:hAnsi="HG丸ｺﾞｼｯｸM-PRO" w:eastAsia="HG丸ｺﾞｼｯｸM-PRO"/>
                        </w:rPr>
                        <w:t>80</w:t>
                      </w:r>
                      <w:r>
                        <w:rPr>
                          <w:rFonts w:hint="eastAsia" w:ascii="HG丸ｺﾞｼｯｸM-PRO" w:hAnsi="HG丸ｺﾞｼｯｸM-PRO" w:eastAsia="HG丸ｺﾞｼｯｸM-PRO"/>
                        </w:rPr>
                        <w:t>％を超えるサービスがあれば提出を！</w:t>
                      </w:r>
                    </w:p>
                  </w:txbxContent>
                </v:textbox>
                <v:imagedata o:title=""/>
                <w10:wrap type="none" anchorx="text" anchory="text"/>
              </v:roundrect>
            </w:pict>
          </mc:Fallback>
        </mc:AlternateContent>
      </w: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3476625</wp:posOffset>
                </wp:positionH>
                <wp:positionV relativeFrom="paragraph">
                  <wp:posOffset>38735</wp:posOffset>
                </wp:positionV>
                <wp:extent cx="1882775" cy="136207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1882775" cy="1362075"/>
                        </a:xfrm>
                        <a:prstGeom prst="bentUpArrow">
                          <a:avLst>
                            <a:gd name="adj1" fmla="val 18182"/>
                            <a:gd name="adj2" fmla="val 25000"/>
                            <a:gd name="adj3" fmla="val 25000"/>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bodyPr/>
                    </wps:wsp>
                  </a:graphicData>
                </a:graphic>
              </wp:anchor>
            </w:drawing>
          </mc:Choice>
          <mc:Fallback>
            <w:pict>
              <v:shape id="オブジェクト 0" style="mso-wrap-distance-top:0pt;mso-wrap-distance-right:16pt;mso-wrap-distance-left:16pt;mso-wrap-distance-bottom:0pt;margin-top:3.05pt;margin-left:273.75pt;mso-position-horizontal-relative:text;mso-position-vertical-relative:text;position:absolute;height:107.25pt;width:148.25pt;z-index:16;" o:spid="_x0000_s1039" o:allowincell="t" o:allowoverlap="t" filled="t" fillcolor="#ffffff [3201]" stroked="t" strokecolor="#ffc000" strokeweight="2pt" o:spt="0" path="m0,17673l0,17673l14236,17673l14236,5400l10800,5400l16200,0l21600,5400l18164,5400l18164,21600l0,21600xe">
                <v:path textboxrect="0,17673,18164,21600" o:connecttype="custom" o:connectlocs="16200,0;10800,5400;0,19636;9082,21600;18164,13500;21600,5400" o:connectangles="270,180,180,90,0,0"/>
                <v:fill/>
                <v:stroke linestyle="single" joinstyle="miter" dashstyle="solid" filltype="solid"/>
                <v:textbox style="layout-flow:horizontal;"/>
                <v:imagedata o:title=""/>
                <w10:wrap type="none" anchorx="text" anchory="text"/>
              </v:shape>
            </w:pict>
          </mc:Fallback>
        </mc:AlternateConten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2273300</wp:posOffset>
                </wp:positionH>
                <wp:positionV relativeFrom="paragraph">
                  <wp:posOffset>73025</wp:posOffset>
                </wp:positionV>
                <wp:extent cx="457200" cy="27622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457200" cy="276225"/>
                        </a:xfrm>
                        <a:prstGeom prst="downArrow">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top:0pt;mso-wrap-distance-right:16pt;mso-wrap-distance-left:16pt;mso-wrap-distance-bottom:0pt;margin-top:5.75pt;margin-left:179pt;mso-position-horizontal-relative:text;mso-position-vertical-relative:text;position:absolute;height:21.75pt;width:36pt;z-index:14;" o:spid="_x0000_s1040" o:allowincell="t" o:allowoverlap="t" filled="t" fillcolor="#ffffff [3201]" stroked="t" strokecolor="#ffc000" strokeweight="2pt" o:spt="67" type="#_x0000_t67"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3333750</wp:posOffset>
                </wp:positionH>
                <wp:positionV relativeFrom="paragraph">
                  <wp:posOffset>6350</wp:posOffset>
                </wp:positionV>
                <wp:extent cx="1295400" cy="520065"/>
                <wp:effectExtent l="0" t="0" r="635" b="635"/>
                <wp:wrapNone/>
                <wp:docPr id="1041" name="オブジェクト 0"/>
                <a:graphic xmlns:a="http://schemas.openxmlformats.org/drawingml/2006/main">
                  <a:graphicData uri="http://schemas.microsoft.com/office/word/2010/wordprocessingShape">
                    <wps:wsp>
                      <wps:cNvPr id="1041" name="オブジェクト 0"/>
                      <wps:cNvSpPr/>
                      <wps:spPr>
                        <a:xfrm>
                          <a:off x="0" y="0"/>
                          <a:ext cx="1295400" cy="520065"/>
                        </a:xfrm>
                        <a:prstGeom prst="rect">
                          <a:avLst/>
                        </a:prstGeom>
                        <a:ln w="25400" cap="flat" cmpd="sng" algn="ctr">
                          <a:noFill/>
                          <a:prstDash val="solid"/>
                        </a:ln>
                      </wps:spPr>
                      <wps:style>
                        <a:lnRef idx="2">
                          <a:schemeClr val="accent2"/>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正当な理由に該当すると判断される</w:t>
                            </w:r>
                          </w:p>
                        </w:txbxContent>
                      </wps:txbx>
                      <wps:bodyPr vertOverflow="overflow" horzOverflow="overflow" wrap="square" anchor="ctr"/>
                    </wps:wsp>
                  </a:graphicData>
                </a:graphic>
              </wp:anchor>
            </w:drawing>
          </mc:Choice>
          <mc:Fallback>
            <w:pict>
              <v:rect id="オブジェクト 0" style="v-text-anchor:middle;mso-wrap-distance-top:0pt;mso-wrap-distance-right:16pt;mso-wrap-distance-left:16pt;mso-wrap-distance-bottom:0pt;margin-top:0.5pt;margin-left:262.5pt;mso-position-horizontal-relative:text;mso-position-vertical-relative:text;position:absolute;height:40.950000000000003pt;width:102pt;z-index:17;" o:spid="_x0000_s1041" o:allowincell="t" o:allowoverlap="t" filled="t" fillcolor="#ffffff [3201]" stroked="f" strokecolor="#c0504d [3205]" strokeweight="2pt" o:spt="1">
                <v:fill/>
                <v:stroke linestyle="single" endcap="flat" dashstyle="solid"/>
                <v:textbox style="layout-flow:horizontal;">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正当な理由に該当すると判断される</w:t>
                      </w:r>
                    </w:p>
                  </w:txbxContent>
                </v:textbox>
                <v:imagedata o:title=""/>
                <w10:wrap type="none" anchorx="text" anchory="text"/>
              </v:rect>
            </w:pict>
          </mc:Fallback>
        </mc:AlternateContent>
      </w:r>
      <w:r>
        <w:rPr>
          <w:rFonts w:hint="eastAsia" w:ascii="AR P丸ゴシック体E" w:hAnsi="AR P丸ゴシック体E" w:eastAsia="AR P丸ゴシック体E"/>
          <w:sz w:val="22"/>
        </w:rPr>
        <w:t>　</w: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71755" distR="71755" simplePos="0" relativeHeight="15" behindDoc="0" locked="0" layoutInCell="1" hidden="0" allowOverlap="1">
                <wp:simplePos x="0" y="0"/>
                <wp:positionH relativeFrom="column">
                  <wp:posOffset>1781175</wp:posOffset>
                </wp:positionH>
                <wp:positionV relativeFrom="paragraph">
                  <wp:posOffset>91440</wp:posOffset>
                </wp:positionV>
                <wp:extent cx="1552575" cy="647700"/>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1552575" cy="647700"/>
                        </a:xfrm>
                        <a:prstGeom prst="roundRect">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正当な理由に該当するか</w:t>
                            </w:r>
                            <w:r>
                              <w:rPr>
                                <w:rFonts w:hint="eastAsia" w:ascii="HG丸ｺﾞｼｯｸM-PRO" w:hAnsi="HG丸ｺﾞｼｯｸM-PRO" w:eastAsia="HG丸ｺﾞｼｯｸM-PRO"/>
                                <w:b w:val="1"/>
                                <w:u w:val="single" w:color="auto"/>
                              </w:rPr>
                              <w:t>市で審査を行う。</w:t>
                            </w:r>
                          </w:p>
                        </w:txbxContent>
                      </wps:txbx>
                      <wps:bodyPr vertOverflow="overflow" horzOverflow="overflow" wrap="square" anchor="ctr"/>
                    </wps:wsp>
                  </a:graphicData>
                </a:graphic>
              </wp:anchor>
            </w:drawing>
          </mc:Choice>
          <mc:Fallback>
            <w:pict>
              <v:roundrect id="オブジェクト 0" style="v-text-anchor:middle;mso-wrap-distance-top:0pt;mso-wrap-distance-right:5.65pt;mso-wrap-distance-left:5.65pt;mso-wrap-distance-bottom:0pt;margin-top:7.2pt;margin-left:140.25pt;mso-position-horizontal-relative:text;mso-position-vertical-relative:text;position:absolute;height:51pt;width:122.25pt;z-index:15;" o:spid="_x0000_s1042" o:allowincell="t" o:allowoverlap="t" filled="t" fillcolor="#ffffff [3201]" stroked="t" strokecolor="#ffc000" strokeweight="2pt" o:spt="2" arcsize="10923f">
                <v:fill/>
                <v:stroke linestyle="single" endcap="flat" dashstyle="solid" filltype="solid"/>
                <v:textbox style="layout-flow:horizontal;">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正当な理由に該当するか</w:t>
                      </w:r>
                      <w:r>
                        <w:rPr>
                          <w:rFonts w:hint="eastAsia" w:ascii="HG丸ｺﾞｼｯｸM-PRO" w:hAnsi="HG丸ｺﾞｼｯｸM-PRO" w:eastAsia="HG丸ｺﾞｼｯｸM-PRO"/>
                          <w:b w:val="1"/>
                          <w:u w:val="single" w:color="auto"/>
                        </w:rPr>
                        <w:t>市で審査を行う。</w:t>
                      </w:r>
                    </w:p>
                  </w:txbxContent>
                </v:textbox>
                <v:imagedata o:title=""/>
                <w10:wrap type="none" anchorx="text" anchory="text"/>
              </v:roundrect>
            </w:pict>
          </mc:Fallback>
        </mc:AlternateContent>
      </w:r>
      <w:r>
        <w:rPr>
          <w:rFonts w:hint="eastAsia"/>
        </w:rPr>
        <mc:AlternateContent>
          <mc:Choice Requires="wps">
            <w:drawing>
              <wp:anchor distT="0" distB="0" distL="71755" distR="71755" simplePos="0" relativeHeight="19" behindDoc="0" locked="0" layoutInCell="1" hidden="0" allowOverlap="1">
                <wp:simplePos x="0" y="0"/>
                <wp:positionH relativeFrom="column">
                  <wp:posOffset>-412750</wp:posOffset>
                </wp:positionH>
                <wp:positionV relativeFrom="paragraph">
                  <wp:posOffset>69215</wp:posOffset>
                </wp:positionV>
                <wp:extent cx="1400175" cy="86677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1400175" cy="866775"/>
                        </a:xfrm>
                        <a:prstGeom prst="star10">
                          <a:avLst/>
                        </a:prstGeom>
                        <a:ln w="25400" cap="flat" cmpd="sng" algn="ctr">
                          <a:solidFill>
                            <a:srgbClr val="FF0000"/>
                          </a:solidFill>
                          <a:prstDash val="solid"/>
                        </a:ln>
                      </wps:spPr>
                      <wps:style>
                        <a:lnRef idx="2">
                          <a:schemeClr val="accent2"/>
                        </a:lnRef>
                        <a:fillRef idx="1">
                          <a:schemeClr val="lt1"/>
                        </a:fillRef>
                        <a:effectRef idx="0">
                          <a:schemeClr val="accent1"/>
                        </a:effectRef>
                        <a:fontRef idx="none">
                          <a:schemeClr val="dk1"/>
                        </a:fontRef>
                      </wps:style>
                      <wps:txbx>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b w:val="1"/>
                              </w:rPr>
                              <w:t>減算が必要！</w:t>
                            </w:r>
                          </w:p>
                        </w:txbxContent>
                      </wps:txbx>
                      <wps:bodyPr vertOverflow="overflow" horzOverflow="overflow" wrap="square" anchor="ctr"/>
                    </wps:wsp>
                  </a:graphicData>
                </a:graphic>
              </wp:anchor>
            </w:drawing>
          </mc:Choice>
          <mc:Fallback>
            <w:pict>
              <v:shape id="オブジェクト 0" style="v-text-anchor:middle;mso-wrap-distance-top:0pt;mso-wrap-distance-right:5.65pt;mso-wrap-distance-left:5.65pt;mso-wrap-distance-bottom:0pt;margin-top:5.45pt;margin-left:-32.5pt;mso-position-horizontal-relative:text;mso-position-vertical-relative:text;position:absolute;height:68.25pt;width:110.25pt;z-index:19;" o:spid="_x0000_s1043" o:allowincell="t" o:allowoverlap="t" filled="t" fillcolor="#ffffff [3201]" stroked="t" strokecolor="#ff0000" strokeweight="2pt" o:spt="0" path="m0,7463l0,7463l2985,5400l4125,2063l7815,2062l10800,0l13785,2062l17475,2063l18615,5400l21600,7463l20460,10800l21600,14137l18615,16200l17475,19537l13785,19538l10800,21600l7815,19538l4125,19537l2985,16200l0,14137l1140,10800xe">
                <v:path textboxrect="2985,5400,18615,16200" o:connecttype="custom" o:connectlocs="21600,7463;21600,14137;17475,19537;10800,21600;4125,19537;0,14137;0,7463;4125,2063;10800,0;17475,2063" o:connectangles="0,0,90,90,90,180,180,270,270,270"/>
                <v:fill/>
                <v:stroke linestyle="single" joinstyle="miter" dashstyle="solid" filltype="solid"/>
                <v:textbox style="layout-flow:horizontal;">
                  <w:txbxContent>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b w:val="1"/>
                        </w:rPr>
                        <w:t>減算が必要！</w:t>
                      </w:r>
                    </w:p>
                  </w:txbxContent>
                </v:textbox>
                <v:imagedata o:title=""/>
                <w10:wrap type="none" anchorx="text" anchory="text"/>
              </v:shape>
            </w:pict>
          </mc:Fallback>
        </mc:AlternateContent>
      </w: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18" behindDoc="0" locked="0" layoutInCell="1" hidden="0" allowOverlap="1">
                <wp:simplePos x="0" y="0"/>
                <wp:positionH relativeFrom="column">
                  <wp:posOffset>1101725</wp:posOffset>
                </wp:positionH>
                <wp:positionV relativeFrom="paragraph">
                  <wp:posOffset>3810</wp:posOffset>
                </wp:positionV>
                <wp:extent cx="533400" cy="50673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533400" cy="506730"/>
                        </a:xfrm>
                        <a:prstGeom prst="leftArrow">
                          <a:avLst>
                            <a:gd name="adj1" fmla="val 50000"/>
                            <a:gd name="adj2" fmla="val 56452"/>
                          </a:avLst>
                        </a:prstGeom>
                        <a:ln w="25400" cap="flat" cmpd="sng" algn="ctr">
                          <a:solidFill>
                            <a:srgbClr val="FFC000"/>
                          </a:solidFill>
                          <a:prstDash val="solid"/>
                        </a:ln>
                      </wps:spPr>
                      <wps:style>
                        <a:lnRef idx="2">
                          <a:schemeClr val="accent2"/>
                        </a:lnRef>
                        <a:fillRef idx="1">
                          <a:schemeClr val="lt1"/>
                        </a:fillRef>
                        <a:effectRef idx="0">
                          <a:schemeClr val="accent1"/>
                        </a:effectRef>
                        <a:fontRef idx="none">
                          <a:schemeClr val="dk1"/>
                        </a:fontRef>
                      </wps:style>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オブジェクト 0" style="mso-wrap-distance-top:0pt;mso-wrap-distance-right:16pt;mso-wrap-distance-left:16pt;mso-wrap-distance-bottom:0pt;margin-top:0.3pt;margin-left:86.75pt;mso-position-horizontal-relative:text;mso-position-vertical-relative:text;position:absolute;height:39.9pt;width:42pt;z-index:18;" o:spid="_x0000_s1044" o:allowincell="t" o:allowoverlap="t" filled="t" fillcolor="#ffffff [3201]" stroked="t" strokecolor="#ffc000" strokeweight="2pt" o:spt="66" type="#_x0000_t66" adj="12194,5400">
                <v:fill/>
                <v:stroke linestyle="single" endcap="flat" dashstyle="solid" filltype="solid"/>
                <v:textbox style="layout-flow:horizontal;"/>
                <v:imagedata o:title=""/>
                <w10:wrap type="none" anchorx="text" anchory="text"/>
              </v:shape>
            </w:pict>
          </mc:Fallback>
        </mc:AlternateContent>
      </w:r>
    </w:p>
    <w:p>
      <w:pPr>
        <w:pStyle w:val="0"/>
        <w:rPr>
          <w:rFonts w:hint="eastAsia" w:ascii="HG丸ｺﾞｼｯｸM-PRO" w:hAnsi="HG丸ｺﾞｼｯｸM-PRO" w:eastAsia="HG丸ｺﾞｼｯｸM-PRO"/>
          <w:sz w:val="22"/>
        </w:rPr>
      </w:pPr>
    </w:p>
    <w:p>
      <w:pPr>
        <w:pStyle w:val="0"/>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４　算定方法</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（１）紹介率最高法人の割合（通所介護の場合）</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【通所介護に係る紹介率最高法人を位置付けた居宅サービス計画数】÷</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【通所介護を位置付けた居宅サービス計画数】×</w:t>
      </w:r>
      <w:r>
        <w:rPr>
          <w:rFonts w:hint="eastAsia" w:ascii="HG丸ｺﾞｼｯｸM-PRO" w:hAnsi="HG丸ｺﾞｼｯｸM-PRO" w:eastAsia="HG丸ｺﾞｼｯｸM-PRO"/>
          <w:sz w:val="22"/>
        </w:rPr>
        <w:t>100</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80</w:t>
      </w:r>
      <w:r>
        <w:rPr>
          <w:rFonts w:hint="eastAsia" w:ascii="HG丸ｺﾞｼｯｸM-PRO" w:hAnsi="HG丸ｺﾞｼｯｸM-PRO" w:eastAsia="HG丸ｺﾞｼｯｸM-PRO"/>
          <w:sz w:val="22"/>
        </w:rPr>
        <w:t>％（減算）</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80</w:t>
      </w:r>
      <w:r>
        <w:rPr>
          <w:rFonts w:hint="eastAsia" w:ascii="HG丸ｺﾞｼｯｸM-PRO" w:hAnsi="HG丸ｺﾞｼｯｸM-PRO" w:eastAsia="HG丸ｺﾞｼｯｸM-PRO"/>
          <w:sz w:val="22"/>
        </w:rPr>
        <w:t>％（非減算）</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（２）紹介率最高法人の判定方法（通所介護の場合）</w:t>
      </w: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21" behindDoc="0" locked="0" layoutInCell="1" hidden="0" allowOverlap="1">
                <wp:simplePos x="0" y="0"/>
                <wp:positionH relativeFrom="column">
                  <wp:posOffset>25400</wp:posOffset>
                </wp:positionH>
                <wp:positionV relativeFrom="paragraph">
                  <wp:posOffset>73660</wp:posOffset>
                </wp:positionV>
                <wp:extent cx="5203825" cy="31432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5203825" cy="314325"/>
                        </a:xfrm>
                        <a:prstGeom prst="flowChartProcess">
                          <a:avLst/>
                        </a:prstGeom>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社会福祉法人</w:t>
                            </w:r>
                            <w:r>
                              <w:rPr>
                                <w:rFonts w:hint="eastAsia" w:ascii="HG丸ｺﾞｼｯｸM-PRO" w:hAnsi="HG丸ｺﾞｼｯｸM-PRO" w:eastAsia="HG丸ｺﾞｼｯｸM-PRO"/>
                              </w:rPr>
                              <w:t>A</w:t>
                            </w:r>
                            <w:r>
                              <w:rPr>
                                <w:rFonts w:hint="eastAsia" w:ascii="HG丸ｺﾞｼｯｸM-PRO" w:hAnsi="HG丸ｺﾞｼｯｸM-PRO" w:eastAsia="HG丸ｺﾞｼｯｸM-PRO"/>
                              </w:rPr>
                              <w:t>が有する通所介護事業所：（イ）事業所　　（ウ）事業所</w:t>
                            </w:r>
                          </w:p>
                        </w:txbxContent>
                      </wps:txbx>
                      <wps:bodyPr vertOverflow="overflow" horzOverflow="overflow" wrap="square" anchor="ctr"/>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so-wrap-distance-top:0pt;mso-wrap-distance-right:16pt;mso-wrap-distance-left:16pt;mso-wrap-distance-bottom:0pt;margin-top:5.8pt;margin-left:2pt;mso-position-horizontal-relative:text;mso-position-vertical-relative:text;position:absolute;height:24.75pt;width:409.75pt;z-index:21;" o:spid="_x0000_s1045" o:allowincell="t" o:allowoverlap="t" filled="t" fillcolor="#ffffff [3201]" stroked="t" strokecolor="#000000 [3200]" strokeweight="1.5pt" o:spt="109" type="#_x0000_t109">
                <v:fill/>
                <v:stroke linestyle="single" endcap="flat" dashstyle="solid" filltype="solid"/>
                <v:textbox style="layout-flow:horizontal;">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社会福祉法人</w:t>
                      </w:r>
                      <w:r>
                        <w:rPr>
                          <w:rFonts w:hint="eastAsia" w:ascii="HG丸ｺﾞｼｯｸM-PRO" w:hAnsi="HG丸ｺﾞｼｯｸM-PRO" w:eastAsia="HG丸ｺﾞｼｯｸM-PRO"/>
                        </w:rPr>
                        <w:t>A</w:t>
                      </w:r>
                      <w:r>
                        <w:rPr>
                          <w:rFonts w:hint="eastAsia" w:ascii="HG丸ｺﾞｼｯｸM-PRO" w:hAnsi="HG丸ｺﾞｼｯｸM-PRO" w:eastAsia="HG丸ｺﾞｼｯｸM-PRO"/>
                        </w:rPr>
                        <w:t>が有する通所介護事業所：（イ）事業所　　（ウ）事業所</w:t>
                      </w:r>
                    </w:p>
                  </w:txbxContent>
                </v:textbox>
                <v:imagedata o:title=""/>
                <w10:wrap type="none" anchorx="text" anchory="text"/>
              </v:shape>
            </w:pict>
          </mc:Fallback>
        </mc:AlternateConten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25400</wp:posOffset>
                </wp:positionH>
                <wp:positionV relativeFrom="paragraph">
                  <wp:posOffset>82550</wp:posOffset>
                </wp:positionV>
                <wp:extent cx="5203825" cy="314325"/>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5203825" cy="314325"/>
                        </a:xfrm>
                        <a:prstGeom prst="flowChartProcess">
                          <a:avLst/>
                        </a:prstGeom>
                        <a:ln w="190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株式会社</w:t>
                            </w:r>
                            <w:r>
                              <w:rPr>
                                <w:rFonts w:hint="eastAsia" w:ascii="HG丸ｺﾞｼｯｸM-PRO" w:hAnsi="HG丸ｺﾞｼｯｸM-PRO" w:eastAsia="HG丸ｺﾞｼｯｸM-PRO"/>
                              </w:rPr>
                              <w:t>B</w:t>
                            </w:r>
                            <w:r>
                              <w:rPr>
                                <w:rFonts w:hint="eastAsia" w:ascii="HG丸ｺﾞｼｯｸM-PRO" w:hAnsi="HG丸ｺﾞｼｯｸM-PRO" w:eastAsia="HG丸ｺﾞｼｯｸM-PRO"/>
                              </w:rPr>
                              <w:t>が有する通所介護事業所：（は）事業所　　（に）事業所</w:t>
                            </w:r>
                          </w:p>
                        </w:txbxContent>
                      </wps:txbx>
                      <wps:bodyPr vertOverflow="overflow" horzOverflow="overflow" anchor="ctr"/>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so-wrap-distance-top:0pt;mso-wrap-distance-right:16pt;mso-wrap-distance-left:16pt;mso-wrap-distance-bottom:0pt;margin-top:6.5pt;margin-left:2pt;mso-position-horizontal-relative:text;mso-position-vertical-relative:text;position:absolute;height:24.75pt;width:409.75pt;z-index:22;" o:spid="_x0000_s1046" o:allowincell="t" o:allowoverlap="t" filled="t" fillcolor="#ffffff [3201]" stroked="t" strokecolor="#000000 [3200]" strokeweight="1.5pt" o:spt="109" type="#_x0000_t109">
                <v:fill/>
                <v:stroke linestyle="single" endcap="flat" dashstyle="shortdash" filltype="solid"/>
                <v:textbox style="layout-flow:horizontal;">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株式会社</w:t>
                      </w:r>
                      <w:r>
                        <w:rPr>
                          <w:rFonts w:hint="eastAsia" w:ascii="HG丸ｺﾞｼｯｸM-PRO" w:hAnsi="HG丸ｺﾞｼｯｸM-PRO" w:eastAsia="HG丸ｺﾞｼｯｸM-PRO"/>
                        </w:rPr>
                        <w:t>B</w:t>
                      </w:r>
                      <w:r>
                        <w:rPr>
                          <w:rFonts w:hint="eastAsia" w:ascii="HG丸ｺﾞｼｯｸM-PRO" w:hAnsi="HG丸ｺﾞｼｯｸM-PRO" w:eastAsia="HG丸ｺﾞｼｯｸM-PRO"/>
                        </w:rPr>
                        <w:t>が有する通所介護事業所：（は）事業所　　（に）事業所</w:t>
                      </w:r>
                    </w:p>
                  </w:txbxContent>
                </v:textbox>
                <v:imagedata o:title=""/>
                <w10:wrap type="none" anchorx="text" anchory="text"/>
              </v:shape>
            </w:pict>
          </mc:Fallback>
        </mc:AlternateConten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※通所介護を位置付けた居宅サービス計画数は全部で</w:t>
      </w:r>
      <w:r>
        <w:rPr>
          <w:rFonts w:hint="eastAsia" w:ascii="HG丸ｺﾞｼｯｸM-PRO" w:hAnsi="HG丸ｺﾞｼｯｸM-PRO" w:eastAsia="HG丸ｺﾞｼｯｸM-PRO"/>
          <w:sz w:val="22"/>
        </w:rPr>
        <w:t>35</w:t>
      </w:r>
      <w:r>
        <w:rPr>
          <w:rFonts w:hint="eastAsia" w:ascii="HG丸ｺﾞｼｯｸM-PRO" w:hAnsi="HG丸ｺﾞｼｯｸM-PRO" w:eastAsia="HG丸ｺﾞｼｯｸM-PRO"/>
          <w:sz w:val="22"/>
        </w:rPr>
        <w:t>件</w:t>
      </w:r>
    </w:p>
    <w:tbl>
      <w:tblPr>
        <w:tblStyle w:val="17"/>
        <w:tblpPr w:leftFromText="142" w:rightFromText="142" w:topFromText="0" w:bottomFromText="0" w:vertAnchor="text" w:horzAnchor="text" w:tblpX="76" w:tblpY="225"/>
        <w:tblW w:w="0" w:type="auto"/>
        <w:tblLayout w:type="fixed"/>
        <w:tblLook w:firstRow="1" w:lastRow="0" w:firstColumn="1" w:lastColumn="0" w:noHBand="0" w:noVBand="1" w:val="04A0"/>
      </w:tblPr>
      <w:tblGrid>
        <w:gridCol w:w="1578"/>
      </w:tblGrid>
      <w:tr>
        <w:trPr/>
        <w:tc>
          <w:tcPr>
            <w:tcW w:w="1578" w:type="dxa"/>
            <w:vAlign w:val="top"/>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ケアプラン１</w:t>
            </w:r>
          </w:p>
        </w:tc>
      </w:tr>
      <w:tr>
        <w:trPr/>
        <w:tc>
          <w:tcPr>
            <w:tcW w:w="1578" w:type="dxa"/>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（イ）事業所</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（ロ）事業所</w:t>
            </w:r>
          </w:p>
        </w:tc>
      </w:tr>
    </w:tbl>
    <w:tbl>
      <w:tblPr>
        <w:tblStyle w:val="17"/>
        <w:tblpPr w:leftFromText="142" w:rightFromText="142" w:topFromText="0" w:bottomFromText="0" w:vertAnchor="text" w:horzAnchor="text" w:tblpX="2351" w:tblpY="180"/>
        <w:tblW w:w="0" w:type="auto"/>
        <w:tblLayout w:type="fixed"/>
        <w:tblLook w:firstRow="1" w:lastRow="0" w:firstColumn="1" w:lastColumn="0" w:noHBand="0" w:noVBand="1" w:val="04A0"/>
      </w:tblPr>
      <w:tblGrid>
        <w:gridCol w:w="1578"/>
      </w:tblGrid>
      <w:tr>
        <w:trPr/>
        <w:tc>
          <w:tcPr>
            <w:tcW w:w="1578" w:type="dxa"/>
            <w:vAlign w:val="top"/>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ケアプラン２</w:t>
            </w:r>
          </w:p>
        </w:tc>
      </w:tr>
      <w:tr>
        <w:trPr/>
        <w:tc>
          <w:tcPr>
            <w:tcW w:w="1578" w:type="dxa"/>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（イ）事業所</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（は）事業所</w:t>
            </w:r>
          </w:p>
        </w:tc>
      </w:tr>
    </w:tbl>
    <w:tbl>
      <w:tblPr>
        <w:tblStyle w:val="17"/>
        <w:tblpPr w:leftFromText="142" w:rightFromText="142" w:topFromText="0" w:bottomFromText="0" w:vertAnchor="text" w:horzAnchor="text" w:tblpX="4441" w:tblpY="193"/>
        <w:tblW w:w="0" w:type="auto"/>
        <w:tblLayout w:type="fixed"/>
        <w:tblLook w:firstRow="1" w:lastRow="0" w:firstColumn="1" w:lastColumn="0" w:noHBand="0" w:noVBand="1" w:val="04A0"/>
      </w:tblPr>
      <w:tblGrid>
        <w:gridCol w:w="1578"/>
      </w:tblGrid>
      <w:tr>
        <w:trPr/>
        <w:tc>
          <w:tcPr>
            <w:tcW w:w="1578" w:type="dxa"/>
            <w:vAlign w:val="top"/>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ケアプラン３</w:t>
            </w:r>
          </w:p>
        </w:tc>
      </w:tr>
      <w:tr>
        <w:trPr/>
        <w:tc>
          <w:tcPr>
            <w:tcW w:w="1578" w:type="dxa"/>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（イ）事業所</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（は）事業所</w:t>
            </w:r>
          </w:p>
        </w:tc>
      </w:tr>
    </w:tbl>
    <w:tbl>
      <w:tblPr>
        <w:tblStyle w:val="17"/>
        <w:tblpPr w:leftFromText="142" w:rightFromText="142" w:topFromText="0" w:bottomFromText="0" w:vertAnchor="text" w:horzAnchor="text" w:tblpX="7141" w:tblpY="192"/>
        <w:tblW w:w="0" w:type="auto"/>
        <w:tblLayout w:type="fixed"/>
        <w:tblLook w:firstRow="1" w:lastRow="0" w:firstColumn="1" w:lastColumn="0" w:noHBand="0" w:noVBand="1" w:val="04A0"/>
      </w:tblPr>
      <w:tblGrid>
        <w:gridCol w:w="1578"/>
      </w:tblGrid>
      <w:tr>
        <w:trPr/>
        <w:tc>
          <w:tcPr>
            <w:tcW w:w="1578" w:type="dxa"/>
            <w:vAlign w:val="top"/>
          </w:tcPr>
          <w:p>
            <w:pPr>
              <w:pStyle w:val="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ケアプラン２</w:t>
            </w:r>
          </w:p>
        </w:tc>
      </w:tr>
      <w:tr>
        <w:trPr/>
        <w:tc>
          <w:tcPr>
            <w:tcW w:w="1578" w:type="dxa"/>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（イ）事業所</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（は）事業所</w:t>
            </w:r>
          </w:p>
        </w:tc>
      </w:tr>
    </w:tbl>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2802255</wp:posOffset>
                </wp:positionH>
                <wp:positionV relativeFrom="paragraph">
                  <wp:posOffset>6985</wp:posOffset>
                </wp:positionV>
                <wp:extent cx="523875" cy="428625"/>
                <wp:effectExtent l="0" t="0" r="635" b="635"/>
                <wp:wrapNone/>
                <wp:docPr id="1047" name="オブジェクト 0"/>
                <a:graphic xmlns:a="http://schemas.openxmlformats.org/drawingml/2006/main">
                  <a:graphicData uri="http://schemas.microsoft.com/office/word/2010/wordprocessingShape">
                    <wps:wsp>
                      <wps:cNvPr id="1047" name="オブジェクト 0"/>
                      <wps:cNvSpPr/>
                      <wps:spPr>
                        <a:xfrm>
                          <a:off x="0" y="0"/>
                          <a:ext cx="523875" cy="428625"/>
                        </a:xfrm>
                        <a:prstGeom prst="flowChartProcess">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rPr>
                            </w:pPr>
                            <w:r>
                              <w:rPr>
                                <w:rFonts w:hint="eastAsia"/>
                                <w:sz w:val="36"/>
                              </w:rPr>
                              <w:t>…</w:t>
                            </w:r>
                          </w:p>
                        </w:txbxContent>
                      </wps:txbx>
                      <wps:bodyPr vertOverflow="overflow" horzOverflow="overflow" wrap="square" anchor="ctr"/>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so-wrap-distance-top:0pt;mso-wrap-distance-right:16pt;mso-wrap-distance-left:16pt;mso-wrap-distance-bottom:0pt;margin-top:0.55000000000000004pt;margin-left:220.65pt;mso-position-horizontal-relative:text;mso-position-vertical-relative:text;position:absolute;height:33.75pt;width:41.25pt;z-index:23;" o:spid="_x0000_s1047" o:allowincell="t" o:allowoverlap="t" filled="t" fillcolor="#ffffff [3201]" stroked="f" strokecolor="#000000 [3200]" strokeweight="2pt" o:spt="109" type="#_x0000_t109">
                <v:fill/>
                <v:stroke linestyle="single" endcap="flat" dashstyle="solid"/>
                <v:textbox style="layout-flow:horizontal;">
                  <w:txbxContent>
                    <w:p>
                      <w:pPr>
                        <w:pStyle w:val="0"/>
                        <w:jc w:val="center"/>
                        <w:rPr>
                          <w:rFonts w:hint="eastAsia"/>
                        </w:rPr>
                      </w:pPr>
                      <w:r>
                        <w:rPr>
                          <w:rFonts w:hint="eastAsia"/>
                          <w:sz w:val="36"/>
                        </w:rPr>
                        <w:t>…</w:t>
                      </w:r>
                    </w:p>
                  </w:txbxContent>
                </v:textbox>
                <v:imagedata o:title=""/>
                <w10:wrap type="none" anchorx="text" anchory="text"/>
              </v:shape>
            </w:pict>
          </mc:Fallback>
        </mc:AlternateContent>
      </w: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1494155</wp:posOffset>
                </wp:positionH>
                <wp:positionV relativeFrom="paragraph">
                  <wp:posOffset>207010</wp:posOffset>
                </wp:positionV>
                <wp:extent cx="1952625" cy="609600"/>
                <wp:effectExtent l="19685" t="19685" r="29845" b="35560"/>
                <wp:wrapNone/>
                <wp:docPr id="1048" name="オブジェクト 0"/>
                <a:graphic xmlns:a="http://schemas.openxmlformats.org/drawingml/2006/main">
                  <a:graphicData uri="http://schemas.microsoft.com/office/word/2010/wordprocessingShape">
                    <wps:wsp>
                      <wps:cNvPr id="1048" name="オブジェクト 0"/>
                      <wps:cNvSpPr/>
                      <wps:spPr>
                        <a:xfrm flipH="1">
                          <a:off x="0" y="0"/>
                          <a:ext cx="1952625" cy="609600"/>
                        </a:xfrm>
                        <a:prstGeom prst="line">
                          <a:avLst/>
                        </a:prstGeom>
                        <a:ln w="2857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flip:x;mso-wrap-distance-top:0pt;mso-wrap-distance-right:16pt;mso-wrap-distance-left:16pt;mso-wrap-distance-bottom:0pt;mso-position-horizontal-relative:text;mso-position-vertical-relative:text;position:absolute;z-index:29;" o:spid="_x0000_s1048" o:allowincell="t" o:allowoverlap="t" filled="f" stroked="t" strokecolor="#000000 [3213]" strokeweight="2.25pt" o:spt="20" from="117.65pt,16.3pt" to="271.40000000000003pt,64.3pt">
                <v:fill/>
                <v:stroke linestyle="single" endcap="flat" dashstyle="solid" filltype="solid" endarrow="block"/>
                <v:textbox style="layout-flow:horizontal;"/>
                <v:imagedata o:title=""/>
                <w10:wrap type="none" anchorx="text" anchory="text"/>
              </v:line>
            </w:pict>
          </mc:Fallback>
        </mc:AlternateContent>
      </w: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26" behindDoc="0" locked="0" layoutInCell="1" hidden="0" allowOverlap="1">
                <wp:simplePos x="0" y="0"/>
                <wp:positionH relativeFrom="column">
                  <wp:posOffset>-572770</wp:posOffset>
                </wp:positionH>
                <wp:positionV relativeFrom="paragraph">
                  <wp:posOffset>216535</wp:posOffset>
                </wp:positionV>
                <wp:extent cx="9525" cy="371475"/>
                <wp:effectExtent l="60325" t="19685" r="64770" b="19685"/>
                <wp:wrapNone/>
                <wp:docPr id="1049" name="オブジェクト 0"/>
                <a:graphic xmlns:a="http://schemas.openxmlformats.org/drawingml/2006/main">
                  <a:graphicData uri="http://schemas.microsoft.com/office/word/2010/wordprocessingShape">
                    <wps:wsp>
                      <wps:cNvPr id="1049" name="オブジェクト 0"/>
                      <wps:cNvSpPr/>
                      <wps:spPr>
                        <a:xfrm flipH="1">
                          <a:off x="0" y="0"/>
                          <a:ext cx="9525" cy="371475"/>
                        </a:xfrm>
                        <a:prstGeom prst="line">
                          <a:avLst/>
                        </a:prstGeom>
                        <a:ln w="2857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flip:x;mso-wrap-distance-top:0pt;mso-wrap-distance-right:16pt;mso-wrap-distance-left:16pt;mso-wrap-distance-bottom:0pt;mso-position-horizontal-relative:text;mso-position-vertical-relative:text;position:absolute;z-index:26;" o:spid="_x0000_s1049" o:allowincell="t" o:allowoverlap="t" filled="f" stroked="t" strokecolor="#000000 [3213]" strokeweight="2.25pt" o:spt="20" from="-45.1pt,17.05pt" to="-44.35pt,46.3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7" behindDoc="0" locked="0" layoutInCell="1" hidden="0" allowOverlap="1">
                <wp:simplePos x="0" y="0"/>
                <wp:positionH relativeFrom="column">
                  <wp:posOffset>160655</wp:posOffset>
                </wp:positionH>
                <wp:positionV relativeFrom="paragraph">
                  <wp:posOffset>111125</wp:posOffset>
                </wp:positionV>
                <wp:extent cx="400050" cy="476885"/>
                <wp:effectExtent l="19685" t="19685" r="29845" b="19685"/>
                <wp:wrapNone/>
                <wp:docPr id="1050" name="オブジェクト 0"/>
                <a:graphic xmlns:a="http://schemas.openxmlformats.org/drawingml/2006/main">
                  <a:graphicData uri="http://schemas.microsoft.com/office/word/2010/wordprocessingShape">
                    <wps:wsp>
                      <wps:cNvPr id="1050" name="オブジェクト 0"/>
                      <wps:cNvSpPr/>
                      <wps:spPr>
                        <a:xfrm flipH="1">
                          <a:off x="0" y="0"/>
                          <a:ext cx="400050" cy="476885"/>
                        </a:xfrm>
                        <a:prstGeom prst="line">
                          <a:avLst/>
                        </a:prstGeom>
                        <a:ln w="2857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flip:x;mso-wrap-distance-top:0pt;mso-wrap-distance-right:16pt;mso-wrap-distance-left:16pt;mso-wrap-distance-bottom:0pt;mso-position-horizontal-relative:text;mso-position-vertical-relative:text;position:absolute;z-index:27;" o:spid="_x0000_s1050" o:allowincell="t" o:allowoverlap="t" filled="f" stroked="t" strokecolor="#000000 [3213]" strokeweight="2.25pt" o:spt="20" from="12.65pt,8.75pt" to="44.150000000000006pt,46.3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8" behindDoc="0" locked="0" layoutInCell="1" hidden="0" allowOverlap="1">
                <wp:simplePos x="0" y="0"/>
                <wp:positionH relativeFrom="column">
                  <wp:posOffset>1341755</wp:posOffset>
                </wp:positionH>
                <wp:positionV relativeFrom="paragraph">
                  <wp:posOffset>111125</wp:posOffset>
                </wp:positionV>
                <wp:extent cx="469900" cy="476885"/>
                <wp:effectExtent l="19685" t="19685" r="29845" b="19685"/>
                <wp:wrapNone/>
                <wp:docPr id="1051" name="オブジェクト 0"/>
                <a:graphic xmlns:a="http://schemas.openxmlformats.org/drawingml/2006/main">
                  <a:graphicData uri="http://schemas.microsoft.com/office/word/2010/wordprocessingShape">
                    <wps:wsp>
                      <wps:cNvPr id="1051" name="オブジェクト 0"/>
                      <wps:cNvSpPr/>
                      <wps:spPr>
                        <a:xfrm flipH="1">
                          <a:off x="0" y="0"/>
                          <a:ext cx="469900" cy="476885"/>
                        </a:xfrm>
                        <a:prstGeom prst="line">
                          <a:avLst/>
                        </a:prstGeom>
                        <a:ln w="28575"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flip:x;mso-wrap-distance-top:0pt;mso-wrap-distance-right:16pt;mso-wrap-distance-left:16pt;mso-wrap-distance-bottom:0pt;mso-position-horizontal-relative:text;mso-position-vertical-relative:text;position:absolute;z-index:28;" o:spid="_x0000_s1051" o:allowincell="t" o:allowoverlap="t" filled="f" stroked="t" strokecolor="#000000 [3213]" strokeweight="2.25pt" o:spt="20" from="105.65pt,8.75pt" to="142.65pt,46.3pt">
                <v:fill/>
                <v:stroke linestyle="single" endcap="flat" dashstyle="solid"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0" behindDoc="0" locked="0" layoutInCell="1" hidden="0" allowOverlap="1">
                <wp:simplePos x="0" y="0"/>
                <wp:positionH relativeFrom="column">
                  <wp:posOffset>878205</wp:posOffset>
                </wp:positionH>
                <wp:positionV relativeFrom="paragraph">
                  <wp:posOffset>111125</wp:posOffset>
                </wp:positionV>
                <wp:extent cx="1381125" cy="476885"/>
                <wp:effectExtent l="19685" t="19685" r="29210" b="32385"/>
                <wp:wrapNone/>
                <wp:docPr id="1052" name="オブジェクト 0"/>
                <a:graphic xmlns:a="http://schemas.openxmlformats.org/drawingml/2006/main">
                  <a:graphicData uri="http://schemas.microsoft.com/office/word/2010/wordprocessingShape">
                    <wps:wsp>
                      <wps:cNvPr id="1052" name="オブジェクト 0"/>
                      <wps:cNvSpPr/>
                      <wps:spPr>
                        <a:xfrm>
                          <a:off x="0" y="0"/>
                          <a:ext cx="1381125" cy="476885"/>
                        </a:xfrm>
                        <a:prstGeom prst="line">
                          <a:avLst/>
                        </a:prstGeom>
                        <a:ln w="28575" cap="flat" cmpd="sng" algn="ctr">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left:16pt;mso-wrap-distance-bottom:0pt;mso-position-horizontal-relative:text;mso-position-vertical-relative:text;position:absolute;z-index:30;" o:spid="_x0000_s1052" o:allowincell="t" o:allowoverlap="t" filled="f" stroked="t" strokecolor="#000000 [3213]" strokeweight="2.25pt" o:spt="20" from="69.150000000000006pt,8.75pt" to="177.9pt,46.3pt">
                <v:fill/>
                <v:stroke linestyle="single" endcap="flat" dashstyle="shortdot" filltype="solid" endarrow="block"/>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31" behindDoc="0" locked="0" layoutInCell="1" hidden="0" allowOverlap="1">
                <wp:simplePos x="0" y="0"/>
                <wp:positionH relativeFrom="column">
                  <wp:posOffset>3697605</wp:posOffset>
                </wp:positionH>
                <wp:positionV relativeFrom="paragraph">
                  <wp:posOffset>111125</wp:posOffset>
                </wp:positionV>
                <wp:extent cx="276225" cy="476885"/>
                <wp:effectExtent l="19685" t="19685" r="29210" b="19685"/>
                <wp:wrapNone/>
                <wp:docPr id="1053" name="オブジェクト 0"/>
                <a:graphic xmlns:a="http://schemas.openxmlformats.org/drawingml/2006/main">
                  <a:graphicData uri="http://schemas.microsoft.com/office/word/2010/wordprocessingShape">
                    <wps:wsp>
                      <wps:cNvPr id="1053" name="オブジェクト 0"/>
                      <wps:cNvSpPr/>
                      <wps:spPr>
                        <a:xfrm>
                          <a:off x="0" y="0"/>
                          <a:ext cx="276225" cy="476885"/>
                        </a:xfrm>
                        <a:prstGeom prst="line">
                          <a:avLst/>
                        </a:prstGeom>
                        <a:ln w="28575" cap="flat" cmpd="sng" algn="ctr">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left:16pt;mso-wrap-distance-bottom:0pt;mso-position-horizontal-relative:text;mso-position-vertical-relative:text;position:absolute;z-index:31;" o:spid="_x0000_s1053" o:allowincell="t" o:allowoverlap="t" filled="f" stroked="t" strokecolor="#000000 [3213]" strokeweight="2.25pt" o:spt="20" from="291.15000000000003pt,8.75pt" to="312.90000000000003pt,46.3pt">
                <v:fill/>
                <v:stroke linestyle="single" endcap="flat" dashstyle="shortdot" filltype="solid" endarrow="block"/>
                <v:textbox style="layout-flow:horizontal;"/>
                <v:imagedata o:title=""/>
                <w10:wrap type="none" anchorx="text" anchory="text"/>
              </v:line>
            </w:pict>
          </mc:Fallback>
        </mc:AlternateConten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24" behindDoc="0" locked="0" layoutInCell="1" hidden="0" allowOverlap="1">
                <wp:simplePos x="0" y="0"/>
                <wp:positionH relativeFrom="column">
                  <wp:posOffset>-412750</wp:posOffset>
                </wp:positionH>
                <wp:positionV relativeFrom="paragraph">
                  <wp:posOffset>130810</wp:posOffset>
                </wp:positionV>
                <wp:extent cx="3139440" cy="314325"/>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wps:spPr>
                        <a:xfrm>
                          <a:off x="0" y="0"/>
                          <a:ext cx="3139440" cy="314325"/>
                        </a:xfrm>
                        <a:prstGeom prst="flowChartProcess">
                          <a:avLst/>
                        </a:prstGeom>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社会福祉法人</w:t>
                            </w:r>
                            <w:r>
                              <w:rPr>
                                <w:rFonts w:hint="eastAsia" w:ascii="HG丸ｺﾞｼｯｸM-PRO" w:hAnsi="HG丸ｺﾞｼｯｸM-PRO" w:eastAsia="HG丸ｺﾞｼｯｸM-PRO"/>
                              </w:rPr>
                              <w:t>A</w:t>
                            </w:r>
                            <w:r>
                              <w:rPr>
                                <w:rFonts w:hint="eastAsia" w:ascii="HG丸ｺﾞｼｯｸM-PRO" w:hAnsi="HG丸ｺﾞｼｯｸM-PRO" w:eastAsia="HG丸ｺﾞｼｯｸM-PRO"/>
                              </w:rPr>
                              <w:t>：</w:t>
                            </w:r>
                            <w:r>
                              <w:rPr>
                                <w:rFonts w:hint="eastAsia" w:ascii="HG丸ｺﾞｼｯｸM-PRO" w:hAnsi="HG丸ｺﾞｼｯｸM-PRO" w:eastAsia="HG丸ｺﾞｼｯｸM-PRO"/>
                              </w:rPr>
                              <w:t>1</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3</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29</w:t>
                            </w:r>
                            <w:r>
                              <w:rPr>
                                <w:rFonts w:hint="eastAsia" w:ascii="HG丸ｺﾞｼｯｸM-PRO" w:hAnsi="HG丸ｺﾞｼｯｸM-PRO" w:eastAsia="HG丸ｺﾞｼｯｸM-PRO"/>
                              </w:rPr>
                              <w:t>件</w:t>
                            </w:r>
                          </w:p>
                        </w:txbxContent>
                      </wps:txbx>
                      <wps:bodyPr vertOverflow="overflow" horzOverflow="overflow" wrap="square" anchor="ctr"/>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so-wrap-distance-top:0pt;mso-wrap-distance-right:16pt;mso-wrap-distance-left:16pt;mso-wrap-distance-bottom:0pt;margin-top:10.3pt;margin-left:-32.5pt;mso-position-horizontal-relative:text;mso-position-vertical-relative:text;position:absolute;height:24.75pt;width:247.2pt;z-index:24;" o:spid="_x0000_s1054" o:allowincell="t" o:allowoverlap="t" filled="t" fillcolor="#ffffff [3201]" stroked="t" strokecolor="#000000 [3200]" strokeweight="1.5pt" o:spt="109" type="#_x0000_t109">
                <v:fill/>
                <v:stroke linestyle="single" endcap="flat" dashstyle="solid" filltype="solid"/>
                <v:textbox style="layout-flow:horizontal;">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社会福祉法人</w:t>
                      </w:r>
                      <w:r>
                        <w:rPr>
                          <w:rFonts w:hint="eastAsia" w:ascii="HG丸ｺﾞｼｯｸM-PRO" w:hAnsi="HG丸ｺﾞｼｯｸM-PRO" w:eastAsia="HG丸ｺﾞｼｯｸM-PRO"/>
                        </w:rPr>
                        <w:t>A</w:t>
                      </w:r>
                      <w:r>
                        <w:rPr>
                          <w:rFonts w:hint="eastAsia" w:ascii="HG丸ｺﾞｼｯｸM-PRO" w:hAnsi="HG丸ｺﾞｼｯｸM-PRO" w:eastAsia="HG丸ｺﾞｼｯｸM-PRO"/>
                        </w:rPr>
                        <w:t>：</w:t>
                      </w:r>
                      <w:r>
                        <w:rPr>
                          <w:rFonts w:hint="eastAsia" w:ascii="HG丸ｺﾞｼｯｸM-PRO" w:hAnsi="HG丸ｺﾞｼｯｸM-PRO" w:eastAsia="HG丸ｺﾞｼｯｸM-PRO"/>
                        </w:rPr>
                        <w:t>1</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3</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29</w:t>
                      </w:r>
                      <w:r>
                        <w:rPr>
                          <w:rFonts w:hint="eastAsia" w:ascii="HG丸ｺﾞｼｯｸM-PRO" w:hAnsi="HG丸ｺﾞｼｯｸM-PRO" w:eastAsia="HG丸ｺﾞｼｯｸM-PRO"/>
                        </w:rPr>
                        <w:t>件</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5" behindDoc="0" locked="0" layoutInCell="1" hidden="0" allowOverlap="1">
                <wp:simplePos x="0" y="0"/>
                <wp:positionH relativeFrom="column">
                  <wp:posOffset>2922905</wp:posOffset>
                </wp:positionH>
                <wp:positionV relativeFrom="paragraph">
                  <wp:posOffset>130810</wp:posOffset>
                </wp:positionV>
                <wp:extent cx="3024505" cy="314325"/>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wps:spPr>
                        <a:xfrm>
                          <a:off x="0" y="0"/>
                          <a:ext cx="3024505" cy="314325"/>
                        </a:xfrm>
                        <a:prstGeom prst="flowChartProcess">
                          <a:avLst/>
                        </a:prstGeom>
                        <a:ln w="19050" cap="flat" cmpd="sng" algn="ctr">
                          <a:solidFill>
                            <a:schemeClr val="dk1"/>
                          </a:solidFill>
                          <a:prstDash val="sysDash"/>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株式会社</w:t>
                            </w:r>
                            <w:r>
                              <w:rPr>
                                <w:rFonts w:hint="eastAsia" w:ascii="HG丸ｺﾞｼｯｸM-PRO" w:hAnsi="HG丸ｺﾞｼｯｸM-PRO" w:eastAsia="HG丸ｺﾞｼｯｸM-PRO"/>
                              </w:rPr>
                              <w:t>B</w:t>
                            </w:r>
                            <w:r>
                              <w:rPr>
                                <w:rFonts w:hint="eastAsia" w:ascii="HG丸ｺﾞｼｯｸM-PRO" w:hAnsi="HG丸ｺﾞｼｯｸM-PRO" w:eastAsia="HG丸ｺﾞｼｯｸM-PRO"/>
                              </w:rPr>
                              <w:t>：</w:t>
                            </w:r>
                            <w:r>
                              <w:rPr>
                                <w:rFonts w:hint="eastAsia" w:ascii="HG丸ｺﾞｼｯｸM-PRO" w:hAnsi="HG丸ｺﾞｼｯｸM-PRO" w:eastAsia="HG丸ｺﾞｼｯｸM-PRO"/>
                              </w:rPr>
                              <w:t>1</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3</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20</w:t>
                            </w:r>
                            <w:r>
                              <w:rPr>
                                <w:rFonts w:hint="eastAsia" w:ascii="HG丸ｺﾞｼｯｸM-PRO" w:hAnsi="HG丸ｺﾞｼｯｸM-PRO" w:eastAsia="HG丸ｺﾞｼｯｸM-PRO"/>
                              </w:rPr>
                              <w:t>件</w:t>
                            </w:r>
                          </w:p>
                        </w:txbxContent>
                      </wps:txbx>
                      <wps:bodyPr vertOverflow="overflow" horzOverflow="overflow" wrap="square" anchor="ctr"/>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so-wrap-distance-top:0pt;mso-wrap-distance-right:16pt;mso-wrap-distance-left:16pt;mso-wrap-distance-bottom:0pt;margin-top:10.3pt;margin-left:230.15pt;mso-position-horizontal-relative:text;mso-position-vertical-relative:text;position:absolute;height:24.75pt;width:238.15pt;z-index:25;" o:spid="_x0000_s1055" o:allowincell="t" o:allowoverlap="t" filled="t" fillcolor="#ffffff [3201]" stroked="t" strokecolor="#000000 [3200]" strokeweight="1.5pt" o:spt="109" type="#_x0000_t109">
                <v:fill/>
                <v:stroke linestyle="single" endcap="flat" dashstyle="shortdash" filltype="solid"/>
                <v:textbox style="layout-flow:horizontal;">
                  <w:txbxContent>
                    <w:p>
                      <w:pPr>
                        <w:pStyle w:val="0"/>
                        <w:jc w:val="center"/>
                        <w:rPr>
                          <w:rFonts w:hint="eastAsia" w:ascii="HG丸ｺﾞｼｯｸM-PRO" w:hAnsi="HG丸ｺﾞｼｯｸM-PRO" w:eastAsia="HG丸ｺﾞｼｯｸM-PRO"/>
                        </w:rPr>
                      </w:pPr>
                      <w:r>
                        <w:rPr>
                          <w:rFonts w:hint="eastAsia" w:ascii="HG丸ｺﾞｼｯｸM-PRO" w:hAnsi="HG丸ｺﾞｼｯｸM-PRO" w:eastAsia="HG丸ｺﾞｼｯｸM-PRO"/>
                        </w:rPr>
                        <w:t>株式会社</w:t>
                      </w:r>
                      <w:r>
                        <w:rPr>
                          <w:rFonts w:hint="eastAsia" w:ascii="HG丸ｺﾞｼｯｸM-PRO" w:hAnsi="HG丸ｺﾞｼｯｸM-PRO" w:eastAsia="HG丸ｺﾞｼｯｸM-PRO"/>
                        </w:rPr>
                        <w:t>B</w:t>
                      </w:r>
                      <w:r>
                        <w:rPr>
                          <w:rFonts w:hint="eastAsia" w:ascii="HG丸ｺﾞｼｯｸM-PRO" w:hAnsi="HG丸ｺﾞｼｯｸM-PRO" w:eastAsia="HG丸ｺﾞｼｯｸM-PRO"/>
                        </w:rPr>
                        <w:t>：</w:t>
                      </w:r>
                      <w:r>
                        <w:rPr>
                          <w:rFonts w:hint="eastAsia" w:ascii="HG丸ｺﾞｼｯｸM-PRO" w:hAnsi="HG丸ｺﾞｼｯｸM-PRO" w:eastAsia="HG丸ｺﾞｼｯｸM-PRO"/>
                        </w:rPr>
                        <w:t>1</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3</w:t>
                      </w:r>
                      <w:r>
                        <w:rPr>
                          <w:rFonts w:hint="eastAsia" w:ascii="HG丸ｺﾞｼｯｸM-PRO" w:hAnsi="HG丸ｺﾞｼｯｸM-PRO" w:eastAsia="HG丸ｺﾞｼｯｸM-PRO"/>
                        </w:rPr>
                        <w:t>件・・</w:t>
                      </w:r>
                      <w:r>
                        <w:rPr>
                          <w:rFonts w:hint="eastAsia" w:ascii="HG丸ｺﾞｼｯｸM-PRO" w:hAnsi="HG丸ｺﾞｼｯｸM-PRO" w:eastAsia="HG丸ｺﾞｼｯｸM-PRO"/>
                        </w:rPr>
                        <w:t>20</w:t>
                      </w:r>
                      <w:r>
                        <w:rPr>
                          <w:rFonts w:hint="eastAsia" w:ascii="HG丸ｺﾞｼｯｸM-PRO" w:hAnsi="HG丸ｺﾞｼｯｸM-PRO" w:eastAsia="HG丸ｺﾞｼｯｸM-PRO"/>
                        </w:rPr>
                        <w:t>件</w:t>
                      </w:r>
                    </w:p>
                  </w:txbxContent>
                </v:textbox>
                <v:imagedata o:title=""/>
                <w10:wrap type="none" anchorx="text" anchory="text"/>
              </v:shape>
            </w:pict>
          </mc:Fallback>
        </mc:AlternateConten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32" behindDoc="0" locked="0" layoutInCell="1" hidden="0" allowOverlap="1">
                <wp:simplePos x="0" y="0"/>
                <wp:positionH relativeFrom="column">
                  <wp:posOffset>2273300</wp:posOffset>
                </wp:positionH>
                <wp:positionV relativeFrom="paragraph">
                  <wp:posOffset>130810</wp:posOffset>
                </wp:positionV>
                <wp:extent cx="457200" cy="27622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wps:spPr>
                        <a:xfrm>
                          <a:off x="0" y="0"/>
                          <a:ext cx="457200" cy="276225"/>
                        </a:xfrm>
                        <a:prstGeom prst="downArrow">
                          <a:avLst/>
                        </a:prstGeom>
                        <a:solidFill>
                          <a:schemeClr val="lt1">
                            <a:alpha val="0"/>
                          </a:schemeClr>
                        </a:solidFill>
                        <a:ln w="19050" cap="flat" cmpd="sng" algn="ctr">
                          <a:solidFill>
                            <a:schemeClr val="tx1"/>
                          </a:solidFill>
                          <a:prstDash val="solid"/>
                        </a:ln>
                      </wps:spPr>
                      <wps:style>
                        <a:lnRef idx="2">
                          <a:schemeClr val="accent2"/>
                        </a:lnRef>
                        <a:fillRef idx="1">
                          <a:schemeClr val="l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top:0pt;mso-wrap-distance-right:16pt;mso-wrap-distance-left:16pt;mso-wrap-distance-bottom:0pt;margin-top:10.3pt;margin-left:179pt;mso-position-horizontal-relative:text;mso-position-vertical-relative:text;position:absolute;height:21.75pt;width:36pt;z-index:32;" o:spid="_x0000_s1056" o:allowincell="t" o:allowoverlap="t" filled="t" fillcolor="#ffffff" stroked="t" strokecolor="#000000 [3213]" strokeweight="1.5pt" o:spt="67" type="#_x0000_t67" adj="10800,5400">
                <v:fill opacity="0f"/>
                <v:stroke linestyle="single" endcap="flat" dashstyle="solid" filltype="solid"/>
                <v:textbox style="layout-flow:horizontal;"/>
                <v:imagedata o:title=""/>
                <w10:wrap type="none" anchorx="text" anchory="text"/>
              </v:shape>
            </w:pict>
          </mc:Fallback>
        </mc:AlternateContent>
      </w:r>
    </w:p>
    <w:p>
      <w:pPr>
        <w:pStyle w:val="0"/>
        <w:rPr>
          <w:rFonts w:hint="eastAsia" w:ascii="HG丸ｺﾞｼｯｸM-PRO" w:hAnsi="HG丸ｺﾞｼｯｸM-PRO" w:eastAsia="HG丸ｺﾞｼｯｸM-PRO"/>
          <w:sz w:val="22"/>
        </w:rPr>
      </w:pPr>
      <w:r>
        <w:rPr>
          <w:rFonts w:hint="eastAsia"/>
        </w:rPr>
        <mc:AlternateContent>
          <mc:Choice Requires="wps">
            <w:drawing>
              <wp:anchor distT="0" distB="0" distL="203200" distR="203200" simplePos="0" relativeHeight="33" behindDoc="0" locked="0" layoutInCell="1" hidden="0" allowOverlap="1">
                <wp:simplePos x="0" y="0"/>
                <wp:positionH relativeFrom="column">
                  <wp:posOffset>149225</wp:posOffset>
                </wp:positionH>
                <wp:positionV relativeFrom="paragraph">
                  <wp:posOffset>226695</wp:posOffset>
                </wp:positionV>
                <wp:extent cx="4899025" cy="1028065"/>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wps:spPr>
                        <a:xfrm>
                          <a:off x="0" y="0"/>
                          <a:ext cx="4899025" cy="1028065"/>
                        </a:xfrm>
                        <a:prstGeom prst="flowChartProcess">
                          <a:avLst/>
                        </a:prstGeom>
                        <a:ln w="1905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紹介率最高法人は</w:t>
                            </w:r>
                            <w:r>
                              <w:rPr>
                                <w:rFonts w:hint="eastAsia" w:ascii="HG丸ｺﾞｼｯｸM-PRO" w:hAnsi="HG丸ｺﾞｼｯｸM-PRO" w:eastAsia="HG丸ｺﾞｼｯｸM-PRO"/>
                              </w:rPr>
                              <w:t>A</w:t>
                            </w:r>
                            <w:r>
                              <w:rPr>
                                <w:rFonts w:hint="eastAsia" w:ascii="HG丸ｺﾞｼｯｸM-PRO" w:hAnsi="HG丸ｺﾞｼｯｸM-PRO" w:eastAsia="HG丸ｺﾞｼｯｸM-PRO"/>
                              </w:rPr>
                              <w:t>法人。通所介護を位置付けた居宅サービス計画</w:t>
                            </w:r>
                            <w:r>
                              <w:rPr>
                                <w:rFonts w:hint="eastAsia" w:ascii="HG丸ｺﾞｼｯｸM-PRO" w:hAnsi="HG丸ｺﾞｼｯｸM-PRO" w:eastAsia="HG丸ｺﾞｼｯｸM-PRO"/>
                              </w:rPr>
                              <w:t>35</w:t>
                            </w:r>
                            <w:r>
                              <w:rPr>
                                <w:rFonts w:hint="eastAsia" w:ascii="HG丸ｺﾞｼｯｸM-PRO" w:hAnsi="HG丸ｺﾞｼｯｸM-PRO" w:eastAsia="HG丸ｺﾞｼｯｸM-PRO"/>
                              </w:rPr>
                              <w:t>件に</w:t>
                            </w:r>
                          </w:p>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対する</w:t>
                            </w:r>
                            <w:r>
                              <w:rPr>
                                <w:rFonts w:hint="eastAsia" w:ascii="HG丸ｺﾞｼｯｸM-PRO" w:hAnsi="HG丸ｺﾞｼｯｸM-PRO" w:eastAsia="HG丸ｺﾞｼｯｸM-PRO"/>
                              </w:rPr>
                              <w:t>A</w:t>
                            </w:r>
                            <w:r>
                              <w:rPr>
                                <w:rFonts w:hint="eastAsia" w:ascii="HG丸ｺﾞｼｯｸM-PRO" w:hAnsi="HG丸ｺﾞｼｯｸM-PRO" w:eastAsia="HG丸ｺﾞｼｯｸM-PRO"/>
                              </w:rPr>
                              <w:t>法人を位置付けた計画（</w:t>
                            </w:r>
                            <w:r>
                              <w:rPr>
                                <w:rFonts w:hint="eastAsia" w:ascii="HG丸ｺﾞｼｯｸM-PRO" w:hAnsi="HG丸ｺﾞｼｯｸM-PRO" w:eastAsia="HG丸ｺﾞｼｯｸM-PRO"/>
                              </w:rPr>
                              <w:t>29</w:t>
                            </w:r>
                            <w:r>
                              <w:rPr>
                                <w:rFonts w:hint="eastAsia" w:ascii="HG丸ｺﾞｼｯｸM-PRO" w:hAnsi="HG丸ｺﾞｼｯｸM-PRO" w:eastAsia="HG丸ｺﾞｼｯｸM-PRO"/>
                              </w:rPr>
                              <w:t>件）が占める割合は、</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　　　　　　２９÷３５×１００＝８２．９％</w:t>
                            </w:r>
                          </w:p>
                          <w:p>
                            <w:pPr>
                              <w:pStyle w:val="0"/>
                              <w:ind w:firstLine="1470" w:firstLineChars="700"/>
                              <w:rPr>
                                <w:rFonts w:hint="eastAsia" w:ascii="HG丸ｺﾞｼｯｸM-PRO" w:hAnsi="HG丸ｺﾞｼｯｸM-PRO" w:eastAsia="HG丸ｺﾞｼｯｸM-PRO"/>
                              </w:rPr>
                            </w:pPr>
                            <w:r>
                              <w:rPr>
                                <w:rFonts w:hint="eastAsia" w:ascii="HG丸ｺﾞｼｯｸM-PRO" w:hAnsi="HG丸ｺﾞｼｯｸM-PRO" w:eastAsia="HG丸ｺﾞｼｯｸM-PRO"/>
                              </w:rPr>
                              <w:t>（小数点第</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位以下四捨五入）</w:t>
                            </w:r>
                          </w:p>
                        </w:txbxContent>
                      </wps:txbx>
                      <wps:bodyPr vertOverflow="overflow" horzOverflow="overflow" wrap="square" anchor="ctr"/>
                    </wps:wsp>
                  </a:graphicData>
                </a:graphic>
              </wp:anchor>
            </w:drawing>
          </mc:Choice>
          <mc:Fallback>
            <w:pict>
              <v:shapetype id="_x0000_t109" coordsize="21600,21600" o:spt="109" path="m,l,21600r21600,l21600,xe">
                <v:stroke joinstyle="miter"/>
                <v:path gradientshapeok="t" o:connecttype="rect"/>
              </v:shapetype>
              <v:shape id="オブジェクト 0" style="v-text-anchor:middle;mso-wrap-distance-top:0pt;mso-wrap-distance-right:16pt;mso-wrap-distance-left:16pt;mso-wrap-distance-bottom:0pt;margin-top:17.850000000000001pt;margin-left:11.75pt;mso-position-horizontal-relative:text;mso-position-vertical-relative:text;position:absolute;height:80.95pt;width:385.75pt;z-index:33;" o:spid="_x0000_s1057" o:allowincell="t" o:allowoverlap="t" filled="t" fillcolor="#ffffff [3201]" stroked="t" strokecolor="#000000 [3200]" strokeweight="1.5pt" o:spt="109" type="#_x0000_t109">
                <v:fill/>
                <v:stroke linestyle="single" endcap="flat" dashstyle="solid" filltype="solid"/>
                <v:textbox style="layout-flow:horizontal;">
                  <w:txbxContent>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紹介率最高法人は</w:t>
                      </w:r>
                      <w:r>
                        <w:rPr>
                          <w:rFonts w:hint="eastAsia" w:ascii="HG丸ｺﾞｼｯｸM-PRO" w:hAnsi="HG丸ｺﾞｼｯｸM-PRO" w:eastAsia="HG丸ｺﾞｼｯｸM-PRO"/>
                        </w:rPr>
                        <w:t>A</w:t>
                      </w:r>
                      <w:r>
                        <w:rPr>
                          <w:rFonts w:hint="eastAsia" w:ascii="HG丸ｺﾞｼｯｸM-PRO" w:hAnsi="HG丸ｺﾞｼｯｸM-PRO" w:eastAsia="HG丸ｺﾞｼｯｸM-PRO"/>
                        </w:rPr>
                        <w:t>法人。通所介護を位置付けた居宅サービス計画</w:t>
                      </w:r>
                      <w:r>
                        <w:rPr>
                          <w:rFonts w:hint="eastAsia" w:ascii="HG丸ｺﾞｼｯｸM-PRO" w:hAnsi="HG丸ｺﾞｼｯｸM-PRO" w:eastAsia="HG丸ｺﾞｼｯｸM-PRO"/>
                        </w:rPr>
                        <w:t>35</w:t>
                      </w:r>
                      <w:r>
                        <w:rPr>
                          <w:rFonts w:hint="eastAsia" w:ascii="HG丸ｺﾞｼｯｸM-PRO" w:hAnsi="HG丸ｺﾞｼｯｸM-PRO" w:eastAsia="HG丸ｺﾞｼｯｸM-PRO"/>
                        </w:rPr>
                        <w:t>件に</w:t>
                      </w:r>
                    </w:p>
                    <w:p>
                      <w:pPr>
                        <w:pStyle w:val="0"/>
                        <w:jc w:val="left"/>
                        <w:rPr>
                          <w:rFonts w:hint="eastAsia" w:ascii="HG丸ｺﾞｼｯｸM-PRO" w:hAnsi="HG丸ｺﾞｼｯｸM-PRO" w:eastAsia="HG丸ｺﾞｼｯｸM-PRO"/>
                        </w:rPr>
                      </w:pPr>
                      <w:r>
                        <w:rPr>
                          <w:rFonts w:hint="eastAsia" w:ascii="HG丸ｺﾞｼｯｸM-PRO" w:hAnsi="HG丸ｺﾞｼｯｸM-PRO" w:eastAsia="HG丸ｺﾞｼｯｸM-PRO"/>
                        </w:rPr>
                        <w:t>対する</w:t>
                      </w:r>
                      <w:r>
                        <w:rPr>
                          <w:rFonts w:hint="eastAsia" w:ascii="HG丸ｺﾞｼｯｸM-PRO" w:hAnsi="HG丸ｺﾞｼｯｸM-PRO" w:eastAsia="HG丸ｺﾞｼｯｸM-PRO"/>
                        </w:rPr>
                        <w:t>A</w:t>
                      </w:r>
                      <w:r>
                        <w:rPr>
                          <w:rFonts w:hint="eastAsia" w:ascii="HG丸ｺﾞｼｯｸM-PRO" w:hAnsi="HG丸ｺﾞｼｯｸM-PRO" w:eastAsia="HG丸ｺﾞｼｯｸM-PRO"/>
                        </w:rPr>
                        <w:t>法人を位置付けた計画（</w:t>
                      </w:r>
                      <w:r>
                        <w:rPr>
                          <w:rFonts w:hint="eastAsia" w:ascii="HG丸ｺﾞｼｯｸM-PRO" w:hAnsi="HG丸ｺﾞｼｯｸM-PRO" w:eastAsia="HG丸ｺﾞｼｯｸM-PRO"/>
                        </w:rPr>
                        <w:t>29</w:t>
                      </w:r>
                      <w:r>
                        <w:rPr>
                          <w:rFonts w:hint="eastAsia" w:ascii="HG丸ｺﾞｼｯｸM-PRO" w:hAnsi="HG丸ｺﾞｼｯｸM-PRO" w:eastAsia="HG丸ｺﾞｼｯｸM-PRO"/>
                        </w:rPr>
                        <w:t>件）が占める割合は、</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　　　　　　２９÷３５×１００＝８２．９％</w:t>
                      </w:r>
                    </w:p>
                    <w:p>
                      <w:pPr>
                        <w:pStyle w:val="0"/>
                        <w:ind w:firstLine="1470" w:firstLineChars="700"/>
                        <w:rPr>
                          <w:rFonts w:hint="eastAsia" w:ascii="HG丸ｺﾞｼｯｸM-PRO" w:hAnsi="HG丸ｺﾞｼｯｸM-PRO" w:eastAsia="HG丸ｺﾞｼｯｸM-PRO"/>
                        </w:rPr>
                      </w:pPr>
                      <w:r>
                        <w:rPr>
                          <w:rFonts w:hint="eastAsia" w:ascii="HG丸ｺﾞｼｯｸM-PRO" w:hAnsi="HG丸ｺﾞｼｯｸM-PRO" w:eastAsia="HG丸ｺﾞｼｯｸM-PRO"/>
                        </w:rPr>
                        <w:t>（小数点第</w:t>
                      </w:r>
                      <w:r>
                        <w:rPr>
                          <w:rFonts w:hint="eastAsia" w:ascii="HG丸ｺﾞｼｯｸM-PRO" w:hAnsi="HG丸ｺﾞｼｯｸM-PRO" w:eastAsia="HG丸ｺﾞｼｯｸM-PRO"/>
                        </w:rPr>
                        <w:t>2</w:t>
                      </w:r>
                      <w:r>
                        <w:rPr>
                          <w:rFonts w:hint="eastAsia" w:ascii="HG丸ｺﾞｼｯｸM-PRO" w:hAnsi="HG丸ｺﾞｼｯｸM-PRO" w:eastAsia="HG丸ｺﾞｼｯｸM-PRO"/>
                        </w:rPr>
                        <w:t>位以下四捨五入）</w:t>
                      </w:r>
                    </w:p>
                  </w:txbxContent>
                </v:textbox>
                <v:imagedata o:title=""/>
                <w10:wrap type="none" anchorx="text" anchory="text"/>
              </v:shape>
            </w:pict>
          </mc:Fallback>
        </mc:AlternateConten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（３）計算上の注意</w:t>
      </w:r>
    </w:p>
    <w:p>
      <w:pPr>
        <w:pStyle w:val="0"/>
        <w:ind w:left="220" w:hanging="22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・ケアプラン１の場合のように、開設者が同じ法人（</w:t>
      </w:r>
      <w:r>
        <w:rPr>
          <w:rFonts w:hint="eastAsia" w:ascii="HG丸ｺﾞｼｯｸM-PRO" w:hAnsi="HG丸ｺﾞｼｯｸM-PRO" w:eastAsia="HG丸ｺﾞｼｯｸM-PRO"/>
          <w:sz w:val="22"/>
        </w:rPr>
        <w:t>A</w:t>
      </w:r>
      <w:r>
        <w:rPr>
          <w:rFonts w:hint="eastAsia" w:ascii="HG丸ｺﾞｼｯｸM-PRO" w:hAnsi="HG丸ｺﾞｼｯｸM-PRO" w:eastAsia="HG丸ｺﾞｼｯｸM-PRO"/>
          <w:sz w:val="22"/>
        </w:rPr>
        <w:t>法人）の事業所が複数位置付けられていても、</w:t>
      </w:r>
      <w:r>
        <w:rPr>
          <w:rFonts w:hint="eastAsia" w:ascii="HG丸ｺﾞｼｯｸM-PRO" w:hAnsi="HG丸ｺﾞｼｯｸM-PRO" w:eastAsia="HG丸ｺﾞｼｯｸM-PRO"/>
          <w:sz w:val="22"/>
        </w:rPr>
        <w:t>A</w:t>
      </w:r>
      <w:r>
        <w:rPr>
          <w:rFonts w:hint="eastAsia" w:ascii="HG丸ｺﾞｼｯｸM-PRO" w:hAnsi="HG丸ｺﾞｼｯｸM-PRO" w:eastAsia="HG丸ｺﾞｼｯｸM-PRO"/>
          <w:sz w:val="22"/>
        </w:rPr>
        <w:t>法人を位置付けた計画数は</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件でカウントします。</w:t>
      </w:r>
    </w:p>
    <w:p>
      <w:pPr>
        <w:pStyle w:val="0"/>
        <w:ind w:left="220" w:hanging="22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・ケアプラン２の場合のように、開設者がそれぞれ違う法人（</w:t>
      </w:r>
      <w:r>
        <w:rPr>
          <w:rFonts w:hint="eastAsia" w:ascii="HG丸ｺﾞｼｯｸM-PRO" w:hAnsi="HG丸ｺﾞｼｯｸM-PRO" w:eastAsia="HG丸ｺﾞｼｯｸM-PRO"/>
          <w:sz w:val="22"/>
        </w:rPr>
        <w:t>A</w:t>
      </w:r>
      <w:r>
        <w:rPr>
          <w:rFonts w:hint="eastAsia" w:ascii="HG丸ｺﾞｼｯｸM-PRO" w:hAnsi="HG丸ｺﾞｼｯｸM-PRO" w:eastAsia="HG丸ｺﾞｼｯｸM-PRO"/>
          <w:sz w:val="22"/>
        </w:rPr>
        <w:t>法人、</w:t>
      </w:r>
      <w:r>
        <w:rPr>
          <w:rFonts w:hint="eastAsia" w:ascii="HG丸ｺﾞｼｯｸM-PRO" w:hAnsi="HG丸ｺﾞｼｯｸM-PRO" w:eastAsia="HG丸ｺﾞｼｯｸM-PRO"/>
          <w:sz w:val="22"/>
        </w:rPr>
        <w:t>B</w:t>
      </w:r>
      <w:r>
        <w:rPr>
          <w:rFonts w:hint="eastAsia" w:ascii="HG丸ｺﾞｼｯｸM-PRO" w:hAnsi="HG丸ｺﾞｼｯｸM-PRO" w:eastAsia="HG丸ｺﾞｼｯｸM-PRO"/>
          <w:sz w:val="22"/>
        </w:rPr>
        <w:t>法人）の事業所の場合は、</w:t>
      </w:r>
      <w:r>
        <w:rPr>
          <w:rFonts w:hint="eastAsia" w:ascii="HG丸ｺﾞｼｯｸM-PRO" w:hAnsi="HG丸ｺﾞｼｯｸM-PRO" w:eastAsia="HG丸ｺﾞｼｯｸM-PRO"/>
          <w:sz w:val="22"/>
        </w:rPr>
        <w:t>A</w:t>
      </w:r>
      <w:r>
        <w:rPr>
          <w:rFonts w:hint="eastAsia" w:ascii="HG丸ｺﾞｼｯｸM-PRO" w:hAnsi="HG丸ｺﾞｼｯｸM-PRO" w:eastAsia="HG丸ｺﾞｼｯｸM-PRO"/>
          <w:sz w:val="22"/>
        </w:rPr>
        <w:t>法人を位置付けた計画として</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件、</w:t>
      </w:r>
      <w:r>
        <w:rPr>
          <w:rFonts w:hint="eastAsia" w:ascii="HG丸ｺﾞｼｯｸM-PRO" w:hAnsi="HG丸ｺﾞｼｯｸM-PRO" w:eastAsia="HG丸ｺﾞｼｯｸM-PRO"/>
          <w:sz w:val="22"/>
        </w:rPr>
        <w:t>B</w:t>
      </w:r>
      <w:r>
        <w:rPr>
          <w:rFonts w:hint="eastAsia" w:ascii="HG丸ｺﾞｼｯｸM-PRO" w:hAnsi="HG丸ｺﾞｼｯｸM-PRO" w:eastAsia="HG丸ｺﾞｼｯｸM-PRO"/>
          <w:sz w:val="22"/>
        </w:rPr>
        <w:t>法人を位置付けた計画として</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件、とそれぞれの法人でカウントします。</w:t>
      </w:r>
    </w:p>
    <w:p>
      <w:pPr>
        <w:pStyle w:val="0"/>
        <w:ind w:left="220" w:hanging="22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・ケアプラン１，２及び３５の場合のように、</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以上の事業所が位置付けられている場合でも、通所介護を位置付けた居宅サービス計画はあくまで計</w:t>
      </w:r>
      <w:r>
        <w:rPr>
          <w:rFonts w:hint="eastAsia" w:ascii="HG丸ｺﾞｼｯｸM-PRO" w:hAnsi="HG丸ｺﾞｼｯｸM-PRO" w:eastAsia="HG丸ｺﾞｼｯｸM-PRO"/>
          <w:sz w:val="22"/>
        </w:rPr>
        <w:t>35</w:t>
      </w:r>
      <w:r>
        <w:rPr>
          <w:rFonts w:hint="eastAsia" w:ascii="HG丸ｺﾞｼｯｸM-PRO" w:hAnsi="HG丸ｺﾞｼｯｸM-PRO" w:eastAsia="HG丸ｺﾞｼｯｸM-PRO"/>
          <w:sz w:val="22"/>
        </w:rPr>
        <w:t>件です。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・給付管理を行った居宅サービス計画を対象とします。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・介護予防サービス計画は含みません。</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・運営実態のあるみなし指定事業所は含まれます。</w:t>
      </w:r>
    </w:p>
    <w:p>
      <w:pPr>
        <w:pStyle w:val="0"/>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５　正当な理由の範囲（平成</w:t>
      </w:r>
      <w:r>
        <w:rPr>
          <w:rFonts w:hint="eastAsia" w:ascii="AR P丸ゴシック体E" w:hAnsi="AR P丸ゴシック体E" w:eastAsia="AR P丸ゴシック体E"/>
          <w:sz w:val="22"/>
        </w:rPr>
        <w:t>27</w:t>
      </w:r>
      <w:r>
        <w:rPr>
          <w:rFonts w:hint="eastAsia" w:ascii="AR P丸ゴシック体E" w:hAnsi="AR P丸ゴシック体E" w:eastAsia="AR P丸ゴシック体E"/>
          <w:sz w:val="22"/>
        </w:rPr>
        <w:t>年</w:t>
      </w:r>
      <w:r>
        <w:rPr>
          <w:rFonts w:hint="eastAsia" w:ascii="AR P丸ゴシック体E" w:hAnsi="AR P丸ゴシック体E" w:eastAsia="AR P丸ゴシック体E"/>
          <w:sz w:val="22"/>
        </w:rPr>
        <w:t>9</w:t>
      </w:r>
      <w:r>
        <w:rPr>
          <w:rFonts w:hint="eastAsia" w:ascii="AR P丸ゴシック体E" w:hAnsi="AR P丸ゴシック体E" w:eastAsia="AR P丸ゴシック体E"/>
          <w:sz w:val="22"/>
        </w:rPr>
        <w:t>月</w:t>
      </w:r>
      <w:r>
        <w:rPr>
          <w:rFonts w:hint="eastAsia" w:ascii="AR P丸ゴシック体E" w:hAnsi="AR P丸ゴシック体E" w:eastAsia="AR P丸ゴシック体E"/>
          <w:sz w:val="22"/>
        </w:rPr>
        <w:t>1</w:t>
      </w:r>
      <w:r>
        <w:rPr>
          <w:rFonts w:hint="eastAsia" w:ascii="AR P丸ゴシック体E" w:hAnsi="AR P丸ゴシック体E" w:eastAsia="AR P丸ゴシック体E"/>
          <w:sz w:val="22"/>
        </w:rPr>
        <w:t>日以降</w:t>
      </w:r>
      <w:bookmarkStart w:id="0" w:name="_GoBack"/>
      <w:bookmarkEnd w:id="0"/>
      <w:r>
        <w:rPr>
          <w:rFonts w:hint="eastAsia" w:ascii="AR P丸ゴシック体E" w:hAnsi="AR P丸ゴシック体E" w:eastAsia="AR P丸ゴシック体E"/>
          <w:sz w:val="22"/>
        </w:rPr>
        <w:t>の宮崎県における取扱い）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「４　算定方法」により</w:t>
      </w:r>
      <w:r>
        <w:rPr>
          <w:rFonts w:hint="eastAsia" w:ascii="HG丸ｺﾞｼｯｸM-PRO" w:hAnsi="HG丸ｺﾞｼｯｸM-PRO" w:eastAsia="HG丸ｺﾞｼｯｸM-PRO"/>
          <w:sz w:val="22"/>
        </w:rPr>
        <w:t>80</w:t>
      </w:r>
      <w:r>
        <w:rPr>
          <w:rFonts w:hint="eastAsia" w:ascii="HG丸ｺﾞｼｯｸM-PRO" w:hAnsi="HG丸ｺﾞｼｯｸM-PRO" w:eastAsia="HG丸ｺﾞｼｯｸM-PRO"/>
          <w:sz w:val="22"/>
        </w:rPr>
        <w:t>％を超えた場合、超えるに至った理由について「正当な理由」があり適切な理由である場合には、特定事業所集中減算の適用を受けません。</w:t>
      </w:r>
    </w:p>
    <w:p>
      <w:pPr>
        <w:pStyle w:val="0"/>
        <w:rPr>
          <w:rFonts w:hint="eastAsia" w:ascii="HG丸ｺﾞｼｯｸM-PRO" w:hAnsi="HG丸ｺﾞｼｯｸM-PRO" w:eastAsia="HG丸ｺﾞｼｯｸM-PRO"/>
          <w:sz w:val="22"/>
        </w:rPr>
      </w:pPr>
    </w:p>
    <w:tbl>
      <w:tblPr>
        <w:tblStyle w:val="17"/>
        <w:tblW w:w="0" w:type="auto"/>
        <w:tblInd w:w="0" w:type="dxa"/>
        <w:tblLayout w:type="fixed"/>
        <w:tblLook w:firstRow="1" w:lastRow="0" w:firstColumn="1" w:lastColumn="0" w:noHBand="0" w:noVBand="1" w:val="04A0"/>
      </w:tblPr>
      <w:tblGrid>
        <w:gridCol w:w="8720"/>
      </w:tblGrid>
      <w:tr>
        <w:trPr/>
        <w:tc>
          <w:tcPr>
            <w:tcW w:w="8720" w:type="dxa"/>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【理由１】居宅介護支援事業所の運営規程に定める「通商の事業の実施地域」に、訪問介</w:t>
            </w:r>
          </w:p>
          <w:p>
            <w:pPr>
              <w:pStyle w:val="0"/>
              <w:ind w:firstLine="1050" w:firstLineChars="500"/>
              <w:rPr>
                <w:rFonts w:hint="eastAsia" w:ascii="HG丸ｺﾞｼｯｸM-PRO" w:hAnsi="HG丸ｺﾞｼｯｸM-PRO" w:eastAsia="HG丸ｺﾞｼｯｸM-PRO"/>
              </w:rPr>
            </w:pPr>
            <w:r>
              <w:rPr>
                <w:rFonts w:hint="eastAsia" w:ascii="HG丸ｺﾞｼｯｸM-PRO" w:hAnsi="HG丸ｺﾞｼｯｸM-PRO" w:eastAsia="HG丸ｺﾞｼｯｸM-PRO"/>
              </w:rPr>
              <w:t>護等の事業所が、サービスごとでみた場合に、５事業所未満である場合。</w:t>
            </w:r>
          </w:p>
          <w:p>
            <w:pPr>
              <w:pStyle w:val="0"/>
              <w:ind w:leftChars="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　　　※みなし指定事業所（医療機関が実施する訪問看護、訪問リハビリテーション、通</w:t>
            </w:r>
          </w:p>
          <w:p>
            <w:pPr>
              <w:pStyle w:val="0"/>
              <w:ind w:left="840" w:leftChars="40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所リハビリテーションのこと。）については「介護サービス情報公表システム」で検索できる事業所でカウントする。</w:t>
            </w:r>
          </w:p>
        </w:tc>
      </w:tr>
    </w:tbl>
    <w:p>
      <w:pPr>
        <w:pStyle w:val="0"/>
        <w:rPr>
          <w:rFonts w:hint="eastAsia" w:ascii="HG丸ｺﾞｼｯｸM-PRO" w:hAnsi="HG丸ｺﾞｼｯｸM-PRO" w:eastAsia="HG丸ｺﾞｼｯｸM-PRO"/>
          <w:sz w:val="22"/>
        </w:rPr>
      </w:pPr>
    </w:p>
    <w:tbl>
      <w:tblPr>
        <w:tblStyle w:val="17"/>
        <w:tblW w:w="0" w:type="auto"/>
        <w:tblInd w:w="0" w:type="dxa"/>
        <w:tblLayout w:type="fixed"/>
        <w:tblLook w:firstRow="1" w:lastRow="0" w:firstColumn="1" w:lastColumn="0" w:noHBand="0" w:noVBand="1" w:val="04A0"/>
      </w:tblPr>
      <w:tblGrid>
        <w:gridCol w:w="8720"/>
      </w:tblGrid>
      <w:tr>
        <w:trPr/>
        <w:tc>
          <w:tcPr>
            <w:tcW w:w="8720" w:type="dxa"/>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【理由２】特別地域居宅介護支援加算を受けている事業所である場合</w:t>
            </w:r>
          </w:p>
        </w:tc>
      </w:tr>
    </w:tbl>
    <w:p>
      <w:pPr>
        <w:pStyle w:val="0"/>
        <w:rPr>
          <w:rFonts w:hint="eastAsia" w:ascii="HG丸ｺﾞｼｯｸM-PRO" w:hAnsi="HG丸ｺﾞｼｯｸM-PRO" w:eastAsia="HG丸ｺﾞｼｯｸM-PRO"/>
          <w:sz w:val="22"/>
        </w:rPr>
      </w:pPr>
    </w:p>
    <w:tbl>
      <w:tblPr>
        <w:tblStyle w:val="17"/>
        <w:tblW w:w="0" w:type="auto"/>
        <w:tblInd w:w="0" w:type="dxa"/>
        <w:tblLayout w:type="fixed"/>
        <w:tblLook w:firstRow="1" w:lastRow="0" w:firstColumn="1" w:lastColumn="0" w:noHBand="0" w:noVBand="1" w:val="04A0"/>
      </w:tblPr>
      <w:tblGrid>
        <w:gridCol w:w="8720"/>
      </w:tblGrid>
      <w:tr>
        <w:trPr/>
        <w:tc>
          <w:tcPr>
            <w:tcW w:w="8720" w:type="dxa"/>
            <w:vAlign w:val="top"/>
          </w:tcPr>
          <w:p>
            <w:pPr>
              <w:pStyle w:val="0"/>
              <w:ind w:left="1050" w:hanging="1050" w:hangingChars="500"/>
              <w:rPr>
                <w:rFonts w:hint="eastAsia" w:ascii="HG丸ｺﾞｼｯｸM-PRO" w:hAnsi="HG丸ｺﾞｼｯｸM-PRO" w:eastAsia="HG丸ｺﾞｼｯｸM-PRO"/>
              </w:rPr>
            </w:pPr>
            <w:r>
              <w:rPr>
                <w:rFonts w:hint="eastAsia" w:ascii="HG丸ｺﾞｼｯｸM-PRO" w:hAnsi="HG丸ｺﾞｼｯｸM-PRO" w:eastAsia="HG丸ｺﾞｼｯｸM-PRO"/>
              </w:rPr>
              <w:t>【理由３】判定機関の</w:t>
            </w:r>
            <w:r>
              <w:rPr>
                <w:rFonts w:hint="eastAsia" w:ascii="HG丸ｺﾞｼｯｸM-PRO" w:hAnsi="HG丸ｺﾞｼｯｸM-PRO" w:eastAsia="HG丸ｺﾞｼｯｸM-PRO"/>
              </w:rPr>
              <w:t>1</w:t>
            </w:r>
            <w:r>
              <w:rPr>
                <w:rFonts w:hint="eastAsia" w:ascii="HG丸ｺﾞｼｯｸM-PRO" w:hAnsi="HG丸ｺﾞｼｯｸM-PRO" w:eastAsia="HG丸ｺﾞｼｯｸM-PRO"/>
              </w:rPr>
              <w:t>月当たりの平均居宅サービス計画数が事業所全体で</w:t>
            </w:r>
            <w:r>
              <w:rPr>
                <w:rFonts w:hint="eastAsia" w:ascii="HG丸ｺﾞｼｯｸM-PRO" w:hAnsi="HG丸ｺﾞｼｯｸM-PRO" w:eastAsia="HG丸ｺﾞｼｯｸM-PRO"/>
              </w:rPr>
              <w:t>20</w:t>
            </w:r>
            <w:r>
              <w:rPr>
                <w:rFonts w:hint="eastAsia" w:ascii="HG丸ｺﾞｼｯｸM-PRO" w:hAnsi="HG丸ｺﾞｼｯｸM-PRO" w:eastAsia="HG丸ｺﾞｼｯｸM-PRO"/>
              </w:rPr>
              <w:t>件以下である場合</w:t>
            </w:r>
          </w:p>
        </w:tc>
      </w:tr>
    </w:tbl>
    <w:p>
      <w:pPr>
        <w:pStyle w:val="0"/>
        <w:rPr>
          <w:rFonts w:hint="eastAsia" w:ascii="HG丸ｺﾞｼｯｸM-PRO" w:hAnsi="HG丸ｺﾞｼｯｸM-PRO" w:eastAsia="HG丸ｺﾞｼｯｸM-PRO"/>
          <w:sz w:val="22"/>
        </w:rPr>
      </w:pPr>
    </w:p>
    <w:tbl>
      <w:tblPr>
        <w:tblStyle w:val="17"/>
        <w:tblW w:w="0" w:type="auto"/>
        <w:tblInd w:w="0" w:type="dxa"/>
        <w:tblLayout w:type="fixed"/>
        <w:tblLook w:firstRow="1" w:lastRow="0" w:firstColumn="1" w:lastColumn="0" w:noHBand="0" w:noVBand="1" w:val="04A0"/>
      </w:tblPr>
      <w:tblGrid>
        <w:gridCol w:w="8720"/>
      </w:tblGrid>
      <w:tr>
        <w:trPr/>
        <w:tc>
          <w:tcPr>
            <w:tcW w:w="8720" w:type="dxa"/>
            <w:vAlign w:val="top"/>
          </w:tcPr>
          <w:p>
            <w:pPr>
              <w:pStyle w:val="0"/>
              <w:ind w:left="1050" w:hanging="1050" w:hangingChars="500"/>
              <w:rPr>
                <w:rFonts w:hint="eastAsia" w:ascii="HG丸ｺﾞｼｯｸM-PRO" w:hAnsi="HG丸ｺﾞｼｯｸM-PRO" w:eastAsia="HG丸ｺﾞｼｯｸM-PRO"/>
              </w:rPr>
            </w:pPr>
            <w:r>
              <w:rPr>
                <w:rFonts w:hint="eastAsia" w:ascii="HG丸ｺﾞｼｯｸM-PRO" w:hAnsi="HG丸ｺﾞｼｯｸM-PRO" w:eastAsia="HG丸ｺﾞｼｯｸM-PRO"/>
              </w:rPr>
              <w:t>【理由４】判定の結果</w:t>
            </w:r>
            <w:r>
              <w:rPr>
                <w:rFonts w:hint="eastAsia" w:ascii="HG丸ｺﾞｼｯｸM-PRO" w:hAnsi="HG丸ｺﾞｼｯｸM-PRO" w:eastAsia="HG丸ｺﾞｼｯｸM-PRO"/>
              </w:rPr>
              <w:t>80</w:t>
            </w:r>
            <w:r>
              <w:rPr>
                <w:rFonts w:hint="eastAsia" w:ascii="HG丸ｺﾞｼｯｸM-PRO" w:hAnsi="HG丸ｺﾞｼｯｸM-PRO" w:eastAsia="HG丸ｺﾞｼｯｸM-PRO"/>
              </w:rPr>
              <w:t>％を超えたサービスであっても、判定機関の</w:t>
            </w:r>
            <w:r>
              <w:rPr>
                <w:rFonts w:hint="eastAsia" w:ascii="HG丸ｺﾞｼｯｸM-PRO" w:hAnsi="HG丸ｺﾞｼｯｸM-PRO" w:eastAsia="HG丸ｺﾞｼｯｸM-PRO"/>
              </w:rPr>
              <w:t>1</w:t>
            </w:r>
            <w:r>
              <w:rPr>
                <w:rFonts w:hint="eastAsia" w:ascii="HG丸ｺﾞｼｯｸM-PRO" w:hAnsi="HG丸ｺﾞｼｯｸM-PRO" w:eastAsia="HG丸ｺﾞｼｯｸM-PRO"/>
              </w:rPr>
              <w:t>月当たりの平均居</w:t>
            </w:r>
          </w:p>
          <w:p>
            <w:pPr>
              <w:pStyle w:val="0"/>
              <w:ind w:left="1050" w:leftChars="400" w:hanging="210" w:hangingChars="100"/>
              <w:rPr>
                <w:rFonts w:hint="eastAsia" w:ascii="HG丸ｺﾞｼｯｸM-PRO" w:hAnsi="HG丸ｺﾞｼｯｸM-PRO" w:eastAsia="HG丸ｺﾞｼｯｸM-PRO"/>
              </w:rPr>
            </w:pPr>
            <w:r>
              <w:rPr>
                <w:rFonts w:hint="eastAsia" w:ascii="HG丸ｺﾞｼｯｸM-PRO" w:hAnsi="HG丸ｺﾞｼｯｸM-PRO" w:eastAsia="HG丸ｺﾞｼｯｸM-PRO"/>
              </w:rPr>
              <w:t>宅サービス計画数が</w:t>
            </w:r>
            <w:r>
              <w:rPr>
                <w:rFonts w:hint="eastAsia" w:ascii="HG丸ｺﾞｼｯｸM-PRO" w:hAnsi="HG丸ｺﾞｼｯｸM-PRO" w:eastAsia="HG丸ｺﾞｼｯｸM-PRO"/>
              </w:rPr>
              <w:t>10</w:t>
            </w:r>
            <w:r>
              <w:rPr>
                <w:rFonts w:hint="eastAsia" w:ascii="HG丸ｺﾞｼｯｸM-PRO" w:hAnsi="HG丸ｺﾞｼｯｸM-PRO" w:eastAsia="HG丸ｺﾞｼｯｸM-PRO"/>
              </w:rPr>
              <w:t>件以下である場合</w:t>
            </w:r>
          </w:p>
        </w:tc>
      </w:tr>
    </w:tbl>
    <w:p>
      <w:pPr>
        <w:pStyle w:val="0"/>
        <w:rPr>
          <w:rFonts w:hint="eastAsia" w:ascii="HG丸ｺﾞｼｯｸM-PRO" w:hAnsi="HG丸ｺﾞｼｯｸM-PRO" w:eastAsia="HG丸ｺﾞｼｯｸM-PRO"/>
          <w:sz w:val="22"/>
        </w:rPr>
      </w:pPr>
    </w:p>
    <w:tbl>
      <w:tblPr>
        <w:tblStyle w:val="17"/>
        <w:tblW w:w="0" w:type="auto"/>
        <w:tblInd w:w="0" w:type="dxa"/>
        <w:tblLayout w:type="fixed"/>
        <w:tblLook w:firstRow="1" w:lastRow="0" w:firstColumn="1" w:lastColumn="0" w:noHBand="0" w:noVBand="1" w:val="04A0"/>
      </w:tblPr>
      <w:tblGrid>
        <w:gridCol w:w="8720"/>
      </w:tblGrid>
      <w:tr>
        <w:trPr/>
        <w:tc>
          <w:tcPr>
            <w:tcW w:w="8720" w:type="dxa"/>
            <w:vAlign w:val="top"/>
          </w:tcPr>
          <w:p>
            <w:pPr>
              <w:pStyle w:val="0"/>
              <w:ind w:left="840" w:hanging="840" w:hangingChars="400"/>
              <w:rPr>
                <w:rFonts w:hint="eastAsia" w:ascii="HG丸ｺﾞｼｯｸM-PRO" w:hAnsi="HG丸ｺﾞｼｯｸM-PRO" w:eastAsia="HG丸ｺﾞｼｯｸM-PRO"/>
              </w:rPr>
            </w:pPr>
            <w:r>
              <w:rPr>
                <w:rFonts w:hint="eastAsia" w:ascii="HG丸ｺﾞｼｯｸM-PRO" w:hAnsi="HG丸ｺﾞｼｯｸM-PRO" w:eastAsia="HG丸ｺﾞｼｯｸM-PRO"/>
              </w:rPr>
              <w:t>【理由５】サービスの質が高いことによる利用者の希望を勘案した場合などにより特定の事業者に集中していると客観的な挙証資料により認められる場合。</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　　　　具体的には以下のいずれかに該当するものとする。</w:t>
            </w:r>
          </w:p>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ア　利用者からサービスの質が高い旨の理由書（様式４）を受けている場合であって、地</w:t>
            </w:r>
          </w:p>
          <w:p>
            <w:pPr>
              <w:pStyle w:val="0"/>
              <w:ind w:left="420" w:leftChars="20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域ケア会議その他個別のケースを地域で検討する会議にその利用者の居宅サービス計画を提出し、支援内容についての意見・助言を受けているプランを除いて再計算した結果、</w:t>
            </w:r>
            <w:r>
              <w:rPr>
                <w:rFonts w:hint="eastAsia" w:ascii="HG丸ｺﾞｼｯｸM-PRO" w:hAnsi="HG丸ｺﾞｼｯｸM-PRO" w:eastAsia="HG丸ｺﾞｼｯｸM-PRO"/>
              </w:rPr>
              <w:t>80</w:t>
            </w:r>
            <w:r>
              <w:rPr>
                <w:rFonts w:hint="eastAsia" w:ascii="HG丸ｺﾞｼｯｸM-PRO" w:hAnsi="HG丸ｺﾞｼｯｸM-PRO" w:eastAsia="HG丸ｺﾞｼｯｸM-PRO"/>
              </w:rPr>
              <w:t>％を超過しない場合。</w:t>
            </w:r>
          </w:p>
          <w:p>
            <w:pPr>
              <w:pStyle w:val="0"/>
              <w:ind w:leftChars="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イ　判定期間中に新規、更新、変更した居宅サービス計画について、アセスメントの結果、</w:t>
            </w:r>
          </w:p>
          <w:p>
            <w:pPr>
              <w:pStyle w:val="0"/>
              <w:ind w:left="420" w:leftChars="20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各種加算等の体制を届出ている事業所を位置付ける必要がある場合に、次の①もしくは②に該当するプランを除いて再計算した結果、</w:t>
            </w:r>
            <w:r>
              <w:rPr>
                <w:rFonts w:hint="eastAsia" w:ascii="HG丸ｺﾞｼｯｸM-PRO" w:hAnsi="HG丸ｺﾞｼｯｸM-PRO" w:eastAsia="HG丸ｺﾞｼｯｸM-PRO"/>
              </w:rPr>
              <w:t>80</w:t>
            </w:r>
            <w:r>
              <w:rPr>
                <w:rFonts w:hint="eastAsia" w:ascii="HG丸ｺﾞｼｯｸM-PRO" w:hAnsi="HG丸ｺﾞｼｯｸM-PRO" w:eastAsia="HG丸ｺﾞｼｯｸM-PRO"/>
              </w:rPr>
              <w:t>％を超過しない場合。（該当するプランのアセスメント、居宅サービス計画第</w:t>
            </w:r>
            <w:r>
              <w:rPr>
                <w:rFonts w:hint="eastAsia" w:ascii="HG丸ｺﾞｼｯｸM-PRO" w:hAnsi="HG丸ｺﾞｼｯｸM-PRO" w:eastAsia="HG丸ｺﾞｼｯｸM-PRO"/>
              </w:rPr>
              <w:t>1</w:t>
            </w:r>
            <w:r>
              <w:rPr>
                <w:rFonts w:hint="eastAsia" w:ascii="HG丸ｺﾞｼｯｸM-PRO" w:hAnsi="HG丸ｺﾞｼｯｸM-PRO" w:eastAsia="HG丸ｺﾞｼｯｸM-PRO"/>
              </w:rPr>
              <w:t>表から第</w:t>
            </w:r>
            <w:r>
              <w:rPr>
                <w:rFonts w:hint="eastAsia" w:ascii="HG丸ｺﾞｼｯｸM-PRO" w:hAnsi="HG丸ｺﾞｼｯｸM-PRO" w:eastAsia="HG丸ｺﾞｼｯｸM-PRO"/>
              </w:rPr>
              <w:t>7</w:t>
            </w:r>
            <w:r>
              <w:rPr>
                <w:rFonts w:hint="eastAsia" w:ascii="HG丸ｺﾞｼｯｸM-PRO" w:hAnsi="HG丸ｺﾞｼｯｸM-PRO" w:eastAsia="HG丸ｺﾞｼｯｸM-PRO"/>
              </w:rPr>
              <w:t>表の写しの添付が必要。）</w:t>
            </w:r>
          </w:p>
          <w:p>
            <w:pPr>
              <w:pStyle w:val="0"/>
              <w:ind w:left="420" w:leftChars="20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①　各種加算等の体制を届出ている事業所が、居宅介護支援事業所の通常の事業の実</w:t>
            </w:r>
          </w:p>
          <w:p>
            <w:pPr>
              <w:pStyle w:val="0"/>
              <w:ind w:left="420" w:leftChars="200" w:firstLine="420" w:firstLineChars="200"/>
              <w:rPr>
                <w:rFonts w:hint="eastAsia" w:ascii="HG丸ｺﾞｼｯｸM-PRO" w:hAnsi="HG丸ｺﾞｼｯｸM-PRO" w:eastAsia="HG丸ｺﾞｼｯｸM-PRO"/>
              </w:rPr>
            </w:pPr>
            <w:r>
              <w:rPr>
                <w:rFonts w:hint="eastAsia" w:ascii="HG丸ｺﾞｼｯｸM-PRO" w:hAnsi="HG丸ｺﾞｼｯｸM-PRO" w:eastAsia="HG丸ｺﾞｼｯｸM-PRO"/>
              </w:rPr>
              <w:t>施地域内に</w:t>
            </w:r>
            <w:r>
              <w:rPr>
                <w:rFonts w:hint="eastAsia" w:ascii="HG丸ｺﾞｼｯｸM-PRO" w:hAnsi="HG丸ｺﾞｼｯｸM-PRO" w:eastAsia="HG丸ｺﾞｼｯｸM-PRO"/>
              </w:rPr>
              <w:t>1</w:t>
            </w:r>
            <w:r>
              <w:rPr>
                <w:rFonts w:hint="eastAsia" w:ascii="HG丸ｺﾞｼｯｸM-PRO" w:hAnsi="HG丸ｺﾞｼｯｸM-PRO" w:eastAsia="HG丸ｺﾞｼｯｸM-PRO"/>
              </w:rPr>
              <w:t>か所しかない場合。</w:t>
            </w:r>
          </w:p>
          <w:p>
            <w:pPr>
              <w:pStyle w:val="0"/>
              <w:ind w:left="420" w:leftChars="20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②　各種加算等の体制を届け出ている事業所について、利用者が適切な情報提供を受</w:t>
            </w:r>
          </w:p>
          <w:p>
            <w:pPr>
              <w:pStyle w:val="0"/>
              <w:ind w:left="840" w:leftChars="40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け、複数の事業所を比較検討し、利用者からサービスの質が高いことを理由にサービスを利用したい旨の理由書（様式４）の提出がある場合。</w:t>
            </w:r>
          </w:p>
        </w:tc>
      </w:tr>
    </w:tbl>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tbl>
      <w:tblPr>
        <w:tblStyle w:val="17"/>
        <w:tblW w:w="0" w:type="auto"/>
        <w:tblInd w:w="0" w:type="dxa"/>
        <w:tblLayout w:type="fixed"/>
        <w:tblLook w:firstRow="1" w:lastRow="0" w:firstColumn="1" w:lastColumn="0" w:noHBand="0" w:noVBand="1" w:val="04A0"/>
      </w:tblPr>
      <w:tblGrid>
        <w:gridCol w:w="8720"/>
      </w:tblGrid>
      <w:tr>
        <w:trPr/>
        <w:tc>
          <w:tcPr>
            <w:tcW w:w="8720" w:type="dxa"/>
            <w:vAlign w:val="top"/>
          </w:tcPr>
          <w:p>
            <w:pPr>
              <w:pStyle w:val="0"/>
              <w:rPr>
                <w:rFonts w:hint="eastAsia" w:ascii="HG丸ｺﾞｼｯｸM-PRO" w:hAnsi="HG丸ｺﾞｼｯｸM-PRO" w:eastAsia="HG丸ｺﾞｼｯｸM-PRO"/>
              </w:rPr>
            </w:pPr>
            <w:r>
              <w:rPr>
                <w:rFonts w:hint="eastAsia" w:ascii="HG丸ｺﾞｼｯｸM-PRO" w:hAnsi="HG丸ｺﾞｼｯｸM-PRO" w:eastAsia="HG丸ｺﾞｼｯｸM-PRO"/>
              </w:rPr>
              <w:t>【理由６】その他、地域的な事情も含め諸般の事情を総合的に勘案し、正当な理由がある</w:t>
            </w:r>
          </w:p>
          <w:p>
            <w:pPr>
              <w:pStyle w:val="0"/>
              <w:ind w:left="1050" w:leftChars="500" w:firstLine="0" w:firstLineChars="0"/>
              <w:rPr>
                <w:rFonts w:hint="eastAsia" w:ascii="HG丸ｺﾞｼｯｸM-PRO" w:hAnsi="HG丸ｺﾞｼｯｸM-PRO" w:eastAsia="HG丸ｺﾞｼｯｸM-PRO"/>
              </w:rPr>
            </w:pPr>
            <w:r>
              <w:rPr>
                <w:rFonts w:hint="eastAsia" w:ascii="HG丸ｺﾞｼｯｸM-PRO" w:hAnsi="HG丸ｺﾞｼｯｸM-PRO" w:eastAsia="HG丸ｺﾞｼｯｸM-PRO"/>
              </w:rPr>
              <w:t>と客観的な挙証資料により認められている場合（該当する居宅サービス計画を除外して再計算を行った結果、</w:t>
            </w:r>
            <w:r>
              <w:rPr>
                <w:rFonts w:hint="eastAsia" w:ascii="HG丸ｺﾞｼｯｸM-PRO" w:hAnsi="HG丸ｺﾞｼｯｸM-PRO" w:eastAsia="HG丸ｺﾞｼｯｸM-PRO"/>
              </w:rPr>
              <w:t>80</w:t>
            </w:r>
            <w:r>
              <w:rPr>
                <w:rFonts w:hint="eastAsia" w:ascii="HG丸ｺﾞｼｯｸM-PRO" w:hAnsi="HG丸ｺﾞｼｯｸM-PRO" w:eastAsia="HG丸ｺﾞｼｯｸM-PRO"/>
              </w:rPr>
              <w:t>％を超過しない場合）</w:t>
            </w:r>
          </w:p>
        </w:tc>
      </w:tr>
    </w:tbl>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【留意事項】</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▶紹介率最高法人が</w:t>
      </w:r>
      <w:r>
        <w:rPr>
          <w:rFonts w:hint="eastAsia" w:ascii="HG丸ｺﾞｼｯｸM-PRO" w:hAnsi="HG丸ｺﾞｼｯｸM-PRO" w:eastAsia="HG丸ｺﾞｼｯｸM-PRO"/>
          <w:sz w:val="22"/>
        </w:rPr>
        <w:t>80</w:t>
      </w:r>
      <w:r>
        <w:rPr>
          <w:rFonts w:hint="eastAsia" w:ascii="HG丸ｺﾞｼｯｸM-PRO" w:hAnsi="HG丸ｺﾞｼｯｸM-PRO" w:eastAsia="HG丸ｺﾞｼｯｸM-PRO"/>
          <w:sz w:val="22"/>
        </w:rPr>
        <w:t>％を超えた理由が、上記１～５に該当する場合には、届出書の</w:t>
      </w:r>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⑤の該当番号に数字を記載してください。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▶届出された正当な理由、提出された資料の内容等によっては、資料の提出、追加を求</w:t>
      </w:r>
    </w:p>
    <w:p>
      <w:pPr>
        <w:pStyle w:val="0"/>
        <w:ind w:left="210" w:leftChars="100" w:firstLine="0" w:firstLineChars="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めるなど、個別のヒアリングを実施する場合があります。また、正当な理由があるとして提出した場合でも、認められないとされた場合には、減算が適用されます。</w:t>
      </w:r>
    </w:p>
    <w:p>
      <w:pPr>
        <w:pStyle w:val="0"/>
        <w:ind w:left="210" w:leftChars="100" w:firstLine="0" w:firstLineChars="0"/>
        <w:rPr>
          <w:rFonts w:hint="eastAsia" w:ascii="HG丸ｺﾞｼｯｸM-PRO" w:hAnsi="HG丸ｺﾞｼｯｸM-PRO" w:eastAsia="HG丸ｺﾞｼｯｸM-PRO"/>
          <w:sz w:val="22"/>
        </w:rPr>
      </w:pPr>
    </w:p>
    <w:p>
      <w:pPr>
        <w:pStyle w:val="0"/>
        <w:ind w:leftChars="0" w:firstLineChars="0"/>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６　判定様式</w:t>
      </w:r>
    </w:p>
    <w:p>
      <w:pPr>
        <w:pStyle w:val="0"/>
        <w:ind w:leftChars="0" w:firstLineChars="0"/>
        <w:rPr>
          <w:rFonts w:hint="eastAsia" w:ascii="AR P丸ゴシック体M" w:hAnsi="AR P丸ゴシック体M" w:eastAsia="AR P丸ゴシック体M"/>
          <w:sz w:val="22"/>
        </w:rPr>
      </w:pPr>
      <w:r>
        <w:rPr>
          <w:rFonts w:hint="eastAsia" w:ascii="HG丸ｺﾞｼｯｸM-PRO" w:hAnsi="HG丸ｺﾞｼｯｸM-PRO" w:eastAsia="HG丸ｺﾞｼｯｸM-PRO"/>
          <w:sz w:val="22"/>
        </w:rPr>
        <w:t>　　様式の電子データは市のホームページからダウンロードできます。</w:t>
      </w:r>
    </w:p>
    <w:p>
      <w:pPr>
        <w:pStyle w:val="0"/>
        <w:ind w:leftChars="0" w:firstLineChars="0"/>
        <w:rPr>
          <w:rFonts w:hint="eastAsia" w:ascii="AR P丸ゴシック体M" w:hAnsi="AR P丸ゴシック体M" w:eastAsia="AR P丸ゴシック体M"/>
          <w:sz w:val="22"/>
        </w:rPr>
      </w:pPr>
      <w:r>
        <w:rPr>
          <w:rFonts w:hint="eastAsia" w:ascii="HG丸ｺﾞｼｯｸM-PRO" w:hAnsi="HG丸ｺﾞｼｯｸM-PRO" w:eastAsia="HG丸ｺﾞｼｯｸM-PRO"/>
          <w:sz w:val="22"/>
        </w:rPr>
        <w:t>　　串間市ホームページトップ＞行政情報</w:t>
      </w:r>
      <w:r>
        <w:rPr>
          <w:rFonts w:hint="eastAsia" w:ascii="HG丸ｺﾞｼｯｸM-PRO" w:hAnsi="HG丸ｺﾞｼｯｸM-PRO" w:eastAsia="HG丸ｺﾞｼｯｸM-PRO"/>
          <w:sz w:val="22"/>
        </w:rPr>
        <w:t>&gt;</w:t>
      </w:r>
      <w:r>
        <w:rPr>
          <w:rFonts w:hint="eastAsia" w:ascii="HG丸ｺﾞｼｯｸM-PRO" w:hAnsi="HG丸ｺﾞｼｯｸM-PRO" w:eastAsia="HG丸ｺﾞｼｯｸM-PRO"/>
          <w:sz w:val="22"/>
        </w:rPr>
        <w:t>福祉と健康＞高齢者</w:t>
      </w:r>
      <w:r>
        <w:rPr>
          <w:rFonts w:hint="eastAsia" w:ascii="HG丸ｺﾞｼｯｸM-PRO" w:hAnsi="HG丸ｺﾞｼｯｸM-PRO" w:eastAsia="HG丸ｺﾞｼｯｸM-PRO"/>
          <w:sz w:val="22"/>
        </w:rPr>
        <w:t>&gt;</w:t>
      </w:r>
      <w:r>
        <w:rPr>
          <w:rFonts w:hint="eastAsia" w:ascii="HG丸ｺﾞｼｯｸM-PRO" w:hAnsi="HG丸ｺﾞｼｯｸM-PRO" w:eastAsia="HG丸ｺﾞｼｯｸM-PRO"/>
          <w:sz w:val="22"/>
        </w:rPr>
        <w:t>介護保険＞介護サー</w:t>
      </w:r>
    </w:p>
    <w:p>
      <w:pPr>
        <w:pStyle w:val="0"/>
        <w:ind w:left="0" w:leftChars="0" w:firstLine="220" w:firstLineChars="100"/>
        <w:rPr>
          <w:rFonts w:hint="eastAsia" w:ascii="AR P丸ゴシック体M" w:hAnsi="AR P丸ゴシック体M" w:eastAsia="AR P丸ゴシック体M"/>
          <w:sz w:val="22"/>
        </w:rPr>
      </w:pPr>
      <w:r>
        <w:rPr>
          <w:rFonts w:hint="eastAsia" w:ascii="HG丸ｺﾞｼｯｸM-PRO" w:hAnsi="HG丸ｺﾞｼｯｸM-PRO" w:eastAsia="HG丸ｺﾞｼｯｸM-PRO"/>
          <w:sz w:val="22"/>
        </w:rPr>
        <w:t>ビス事業者の方はこちら＞居宅介護支援事業所に係る特定事業所集中減算について</w:t>
      </w:r>
      <w:r>
        <w:rPr>
          <w:rFonts w:hint="eastAsia" w:ascii="AR P丸ゴシック体E" w:hAnsi="AR P丸ゴシック体E" w:eastAsia="AR P丸ゴシック体E"/>
          <w:sz w:val="22"/>
        </w:rPr>
        <w:t>　</w:t>
      </w:r>
    </w:p>
    <w:tbl>
      <w:tblPr>
        <w:tblStyle w:val="17"/>
        <w:tblW w:w="0" w:type="auto"/>
        <w:tblInd w:w="0" w:type="dxa"/>
        <w:tblLayout w:type="fixed"/>
        <w:tblLook w:firstRow="1" w:lastRow="0" w:firstColumn="1" w:lastColumn="0" w:noHBand="0" w:noVBand="1" w:val="04A0"/>
      </w:tblPr>
      <w:tblGrid>
        <w:gridCol w:w="8928"/>
      </w:tblGrid>
      <w:tr>
        <w:trPr/>
        <w:tc>
          <w:tcPr>
            <w:tcW w:w="8928" w:type="dxa"/>
            <w:vAlign w:val="top"/>
          </w:tcPr>
          <w:p>
            <w:pPr>
              <w:pStyle w:val="0"/>
              <w:ind w:firstLine="210" w:firstLineChars="100"/>
              <w:rPr>
                <w:rFonts w:hint="eastAsia" w:ascii="AR P丸ゴシック体M" w:hAnsi="AR P丸ゴシック体M" w:eastAsia="AR P丸ゴシック体M"/>
              </w:rPr>
            </w:pPr>
            <w:r>
              <w:rPr>
                <w:rFonts w:hint="eastAsia" w:ascii="AR P丸ゴシック体M" w:hAnsi="AR P丸ゴシック体M" w:eastAsia="AR P丸ゴシック体M"/>
              </w:rPr>
              <w:t>様式①　　</w:t>
            </w:r>
            <w:r>
              <w:rPr>
                <w:rFonts w:hint="eastAsia" w:ascii="AR P丸ゴシック体M" w:hAnsi="AR P丸ゴシック体M" w:eastAsia="AR P丸ゴシック体M"/>
              </w:rPr>
              <w:t xml:space="preserve"> </w:t>
            </w:r>
            <w:r>
              <w:rPr>
                <w:rFonts w:hint="eastAsia" w:ascii="AR P丸ゴシック体M" w:hAnsi="AR P丸ゴシック体M" w:eastAsia="AR P丸ゴシック体M"/>
              </w:rPr>
              <w:t>「居宅介護支援事業所における特定事業所集中減算に係る届出書」</w:t>
            </w:r>
          </w:p>
          <w:p>
            <w:pPr>
              <w:pStyle w:val="0"/>
              <w:ind w:firstLine="210" w:firstLineChars="100"/>
              <w:rPr>
                <w:rFonts w:hint="eastAsia" w:ascii="AR P丸ゴシック体M" w:hAnsi="AR P丸ゴシック体M" w:eastAsia="AR P丸ゴシック体M"/>
              </w:rPr>
            </w:pPr>
            <w:r>
              <w:rPr>
                <w:rFonts w:hint="eastAsia" w:ascii="AR P丸ゴシック体M" w:hAnsi="AR P丸ゴシック体M" w:eastAsia="AR P丸ゴシック体M"/>
              </w:rPr>
              <w:t>様式②　　</w:t>
            </w:r>
            <w:r>
              <w:rPr>
                <w:rFonts w:hint="eastAsia" w:ascii="AR P丸ゴシック体M" w:hAnsi="AR P丸ゴシック体M" w:eastAsia="AR P丸ゴシック体M"/>
              </w:rPr>
              <w:t xml:space="preserve"> </w:t>
            </w:r>
            <w:r>
              <w:rPr>
                <w:rFonts w:hint="eastAsia" w:ascii="AR P丸ゴシック体M" w:hAnsi="AR P丸ゴシック体M" w:eastAsia="AR P丸ゴシック体M"/>
              </w:rPr>
              <w:t>「居宅介護支援事業所における特定事業所集中減算に係る判定表」</w:t>
            </w:r>
          </w:p>
          <w:p>
            <w:pPr>
              <w:pStyle w:val="0"/>
              <w:ind w:firstLine="210" w:firstLineChars="100"/>
              <w:rPr>
                <w:rFonts w:hint="eastAsia" w:ascii="AR P丸ゴシック体M" w:hAnsi="AR P丸ゴシック体M" w:eastAsia="AR P丸ゴシック体M"/>
              </w:rPr>
            </w:pPr>
            <w:r>
              <w:rPr>
                <w:rFonts w:hint="eastAsia" w:ascii="AR P丸ゴシック体M" w:hAnsi="AR P丸ゴシック体M" w:eastAsia="AR P丸ゴシック体M"/>
              </w:rPr>
              <w:t>様式③　　</w:t>
            </w:r>
            <w:r>
              <w:rPr>
                <w:rFonts w:hint="eastAsia" w:ascii="AR P丸ゴシック体M" w:hAnsi="AR P丸ゴシック体M" w:eastAsia="AR P丸ゴシック体M"/>
              </w:rPr>
              <w:t xml:space="preserve"> </w:t>
            </w:r>
            <w:r>
              <w:rPr>
                <w:rFonts w:hint="eastAsia" w:ascii="AR P丸ゴシック体M" w:hAnsi="AR P丸ゴシック体M" w:eastAsia="AR P丸ゴシック体M"/>
              </w:rPr>
              <w:t>「再計算書（正当な理由（５）又は（６）の場合）」</w:t>
            </w:r>
          </w:p>
          <w:p>
            <w:pPr>
              <w:pStyle w:val="0"/>
              <w:ind w:firstLine="210" w:firstLineChars="100"/>
              <w:rPr>
                <w:rFonts w:hint="eastAsia" w:ascii="AR P丸ゴシック体M" w:hAnsi="AR P丸ゴシック体M" w:eastAsia="AR P丸ゴシック体M"/>
              </w:rPr>
            </w:pPr>
            <w:r>
              <w:rPr>
                <w:rFonts w:hint="eastAsia" w:ascii="AR P丸ゴシック体M" w:hAnsi="AR P丸ゴシック体M" w:eastAsia="AR P丸ゴシック体M"/>
              </w:rPr>
              <w:t>様式③の２　「再計算の対象にした居宅サービス計画一覧表」（正当な理由）５）又は（６）の場合</w:t>
            </w:r>
          </w:p>
          <w:p>
            <w:pPr>
              <w:pStyle w:val="0"/>
              <w:ind w:firstLine="210" w:firstLineChars="100"/>
              <w:rPr>
                <w:rFonts w:hint="eastAsia" w:ascii="AR P丸ゴシック体M" w:hAnsi="AR P丸ゴシック体M" w:eastAsia="AR P丸ゴシック体M"/>
              </w:rPr>
            </w:pPr>
            <w:r>
              <w:rPr>
                <w:rFonts w:hint="eastAsia" w:ascii="AR P丸ゴシック体M" w:hAnsi="AR P丸ゴシック体M" w:eastAsia="AR P丸ゴシック体M"/>
              </w:rPr>
              <w:t>様式④　　</w:t>
            </w:r>
            <w:r>
              <w:rPr>
                <w:rFonts w:hint="eastAsia" w:ascii="AR P丸ゴシック体M" w:hAnsi="AR P丸ゴシック体M" w:eastAsia="AR P丸ゴシック体M"/>
              </w:rPr>
              <w:t xml:space="preserve"> </w:t>
            </w:r>
            <w:r>
              <w:rPr>
                <w:rFonts w:hint="eastAsia" w:ascii="AR P丸ゴシック体M" w:hAnsi="AR P丸ゴシック体M" w:eastAsia="AR P丸ゴシック体M"/>
              </w:rPr>
              <w:t>「理由書」</w:t>
            </w:r>
          </w:p>
        </w:tc>
      </w:tr>
    </w:tbl>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・様式②で紹介率最高法人を判定し、様式①により各サービスの紹介率最高法人の紹介</w:t>
      </w:r>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率を算定します。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80</w:t>
      </w:r>
      <w:r>
        <w:rPr>
          <w:rFonts w:hint="eastAsia" w:ascii="HG丸ｺﾞｼｯｸM-PRO" w:hAnsi="HG丸ｺﾞｼｯｸM-PRO" w:eastAsia="HG丸ｺﾞｼｯｸM-PRO"/>
          <w:sz w:val="22"/>
        </w:rPr>
        <w:t>％を超えないサービスについても記載してください。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【提出書類一覧表】</w:t>
      </w:r>
    </w:p>
    <w:tbl>
      <w:tblPr>
        <w:tblStyle w:val="17"/>
        <w:tblW w:w="0" w:type="auto"/>
        <w:tblInd w:w="0" w:type="dxa"/>
        <w:tblLayout w:type="fixed"/>
        <w:tblLook w:firstRow="1" w:lastRow="0" w:firstColumn="1" w:lastColumn="0" w:noHBand="0" w:noVBand="1" w:val="04A0"/>
      </w:tblPr>
      <w:tblGrid>
        <w:gridCol w:w="1578"/>
        <w:gridCol w:w="1470"/>
        <w:gridCol w:w="1470"/>
        <w:gridCol w:w="1050"/>
        <w:gridCol w:w="1050"/>
        <w:gridCol w:w="1260"/>
        <w:gridCol w:w="1050"/>
      </w:tblGrid>
      <w:tr>
        <w:trPr/>
        <w:tc>
          <w:tcPr>
            <w:tcW w:w="45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提出する書類</w:t>
            </w:r>
          </w:p>
        </w:tc>
        <w:tc>
          <w:tcPr>
            <w:tcW w:w="105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様式①</w:t>
            </w:r>
          </w:p>
        </w:tc>
        <w:tc>
          <w:tcPr>
            <w:tcW w:w="105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様式②</w:t>
            </w:r>
          </w:p>
        </w:tc>
        <w:tc>
          <w:tcPr>
            <w:tcW w:w="126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様式③、</w:t>
            </w:r>
          </w:p>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様式③の２</w:t>
            </w:r>
          </w:p>
        </w:tc>
        <w:tc>
          <w:tcPr>
            <w:tcW w:w="105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様式④</w:t>
            </w:r>
          </w:p>
        </w:tc>
      </w:tr>
      <w:tr>
        <w:trPr/>
        <w:tc>
          <w:tcPr>
            <w:tcW w:w="451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いずれのサービスも紹介率が</w:t>
            </w:r>
            <w:r>
              <w:rPr>
                <w:rFonts w:hint="eastAsia" w:ascii="AR P丸ゴシック体M" w:hAnsi="AR P丸ゴシック体M" w:eastAsia="AR P丸ゴシック体M"/>
              </w:rPr>
              <w:t>80</w:t>
            </w:r>
            <w:r>
              <w:rPr>
                <w:rFonts w:hint="eastAsia" w:ascii="AR P丸ゴシック体M" w:hAnsi="AR P丸ゴシック体M" w:eastAsia="AR P丸ゴシック体M"/>
              </w:rPr>
              <w:t>％を超えなかった場合</w:t>
            </w:r>
          </w:p>
        </w:tc>
        <w:tc>
          <w:tcPr>
            <w:tcW w:w="1050" w:type="dxa"/>
            <w:vAlign w:val="center"/>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c>
          <w:tcPr>
            <w:tcW w:w="1050" w:type="dxa"/>
            <w:vAlign w:val="center"/>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c>
          <w:tcPr>
            <w:tcW w:w="1260" w:type="dxa"/>
            <w:vAlign w:val="center"/>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c>
          <w:tcPr>
            <w:tcW w:w="1050" w:type="dxa"/>
            <w:vAlign w:val="center"/>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r>
      <w:tr>
        <w:trPr>
          <w:trHeight w:val="360" w:hRule="atLeast"/>
        </w:trPr>
        <w:tc>
          <w:tcPr>
            <w:tcW w:w="1578" w:type="dxa"/>
            <w:vMerge w:val="restart"/>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いずれか</w:t>
            </w:r>
            <w:r>
              <w:rPr>
                <w:rFonts w:hint="eastAsia" w:ascii="AR P丸ゴシック体M" w:hAnsi="AR P丸ゴシック体M" w:eastAsia="AR P丸ゴシック体M"/>
              </w:rPr>
              <w:t>1</w:t>
            </w:r>
            <w:r>
              <w:rPr>
                <w:rFonts w:hint="eastAsia" w:ascii="AR P丸ゴシック体M" w:hAnsi="AR P丸ゴシック体M" w:eastAsia="AR P丸ゴシック体M"/>
              </w:rPr>
              <w:t>つのサービスでも紹介率が</w:t>
            </w:r>
            <w:r>
              <w:rPr>
                <w:rFonts w:hint="eastAsia" w:ascii="AR P丸ゴシック体M" w:hAnsi="AR P丸ゴシック体M" w:eastAsia="AR P丸ゴシック体M"/>
              </w:rPr>
              <w:t>80</w:t>
            </w:r>
            <w:r>
              <w:rPr>
                <w:rFonts w:hint="eastAsia" w:ascii="AR P丸ゴシック体M" w:hAnsi="AR P丸ゴシック体M" w:eastAsia="AR P丸ゴシック体M"/>
              </w:rPr>
              <w:t>％を超えた場合</w:t>
            </w:r>
          </w:p>
        </w:tc>
        <w:tc>
          <w:tcPr>
            <w:tcW w:w="29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正当な理由に該当しない</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26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r>
      <w:tr>
        <w:trPr>
          <w:trHeight w:val="360" w:hRule="atLeast"/>
        </w:trPr>
        <w:tc>
          <w:tcPr>
            <w:tcW w:w="1578" w:type="dxa"/>
            <w:vMerge w:val="continue"/>
            <w:vAlign w:val="top"/>
          </w:tcPr>
          <w:p>
            <w:pPr>
              <w:pStyle w:val="0"/>
              <w:rPr>
                <w:rFonts w:hint="eastAsia" w:ascii="AR P丸ゴシック体M" w:hAnsi="AR P丸ゴシック体M" w:eastAsia="AR P丸ゴシック体M"/>
              </w:rPr>
            </w:pPr>
          </w:p>
        </w:tc>
        <w:tc>
          <w:tcPr>
            <w:tcW w:w="1470" w:type="dxa"/>
            <w:vMerge w:val="restart"/>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正当な理由に該当する</w:t>
            </w:r>
          </w:p>
        </w:tc>
        <w:tc>
          <w:tcPr>
            <w:tcW w:w="147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理由１</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26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r>
      <w:tr>
        <w:trPr/>
        <w:tc>
          <w:tcPr>
            <w:tcW w:w="1578" w:type="dxa"/>
            <w:vMerge w:val="continue"/>
            <w:vAlign w:val="top"/>
          </w:tcPr>
          <w:p>
            <w:pPr>
              <w:pStyle w:val="0"/>
              <w:rPr>
                <w:rFonts w:hint="eastAsia" w:ascii="AR P丸ゴシック体M" w:hAnsi="AR P丸ゴシック体M" w:eastAsia="AR P丸ゴシック体M"/>
              </w:rPr>
            </w:pPr>
          </w:p>
        </w:tc>
        <w:tc>
          <w:tcPr>
            <w:tcW w:w="1470" w:type="dxa"/>
            <w:vMerge w:val="continue"/>
            <w:vAlign w:val="top"/>
          </w:tcPr>
          <w:p>
            <w:pPr>
              <w:pStyle w:val="0"/>
              <w:rPr>
                <w:rFonts w:hint="eastAsia" w:ascii="AR P丸ゴシック体M" w:hAnsi="AR P丸ゴシック体M" w:eastAsia="AR P丸ゴシック体M"/>
              </w:rPr>
            </w:pPr>
          </w:p>
        </w:tc>
        <w:tc>
          <w:tcPr>
            <w:tcW w:w="147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理由２</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c>
          <w:tcPr>
            <w:tcW w:w="126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r>
      <w:tr>
        <w:trPr/>
        <w:tc>
          <w:tcPr>
            <w:tcW w:w="1578" w:type="dxa"/>
            <w:vMerge w:val="continue"/>
            <w:vAlign w:val="top"/>
          </w:tcPr>
          <w:p>
            <w:pPr>
              <w:pStyle w:val="0"/>
              <w:rPr>
                <w:rFonts w:hint="eastAsia" w:ascii="AR P丸ゴシック体M" w:hAnsi="AR P丸ゴシック体M" w:eastAsia="AR P丸ゴシック体M"/>
              </w:rPr>
            </w:pPr>
          </w:p>
        </w:tc>
        <w:tc>
          <w:tcPr>
            <w:tcW w:w="1470" w:type="dxa"/>
            <w:vMerge w:val="continue"/>
            <w:vAlign w:val="top"/>
          </w:tcPr>
          <w:p>
            <w:pPr>
              <w:pStyle w:val="0"/>
              <w:rPr>
                <w:rFonts w:hint="eastAsia" w:ascii="AR P丸ゴシック体M" w:hAnsi="AR P丸ゴシック体M" w:eastAsia="AR P丸ゴシック体M"/>
              </w:rPr>
            </w:pPr>
          </w:p>
        </w:tc>
        <w:tc>
          <w:tcPr>
            <w:tcW w:w="147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理由３</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26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r>
      <w:tr>
        <w:trPr/>
        <w:tc>
          <w:tcPr>
            <w:tcW w:w="1578" w:type="dxa"/>
            <w:vMerge w:val="continue"/>
            <w:vAlign w:val="top"/>
          </w:tcPr>
          <w:p>
            <w:pPr>
              <w:pStyle w:val="0"/>
              <w:rPr>
                <w:rFonts w:hint="eastAsia" w:ascii="AR P丸ゴシック体M" w:hAnsi="AR P丸ゴシック体M" w:eastAsia="AR P丸ゴシック体M"/>
              </w:rPr>
            </w:pPr>
          </w:p>
        </w:tc>
        <w:tc>
          <w:tcPr>
            <w:tcW w:w="1470" w:type="dxa"/>
            <w:vMerge w:val="continue"/>
            <w:vAlign w:val="top"/>
          </w:tcPr>
          <w:p>
            <w:pPr>
              <w:pStyle w:val="0"/>
              <w:rPr>
                <w:rFonts w:hint="eastAsia" w:ascii="AR P丸ゴシック体M" w:hAnsi="AR P丸ゴシック体M" w:eastAsia="AR P丸ゴシック体M"/>
              </w:rPr>
            </w:pPr>
          </w:p>
        </w:tc>
        <w:tc>
          <w:tcPr>
            <w:tcW w:w="147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理由４</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26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r>
      <w:tr>
        <w:trPr/>
        <w:tc>
          <w:tcPr>
            <w:tcW w:w="1578" w:type="dxa"/>
            <w:vMerge w:val="continue"/>
            <w:vAlign w:val="top"/>
          </w:tcPr>
          <w:p>
            <w:pPr>
              <w:pStyle w:val="0"/>
              <w:rPr>
                <w:rFonts w:hint="eastAsia" w:ascii="AR P丸ゴシック体M" w:hAnsi="AR P丸ゴシック体M" w:eastAsia="AR P丸ゴシック体M"/>
              </w:rPr>
            </w:pPr>
          </w:p>
        </w:tc>
        <w:tc>
          <w:tcPr>
            <w:tcW w:w="1470" w:type="dxa"/>
            <w:vMerge w:val="continue"/>
            <w:vAlign w:val="top"/>
          </w:tcPr>
          <w:p>
            <w:pPr>
              <w:pStyle w:val="0"/>
              <w:rPr>
                <w:rFonts w:hint="eastAsia" w:ascii="AR P丸ゴシック体M" w:hAnsi="AR P丸ゴシック体M" w:eastAsia="AR P丸ゴシック体M"/>
              </w:rPr>
            </w:pPr>
          </w:p>
        </w:tc>
        <w:tc>
          <w:tcPr>
            <w:tcW w:w="147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理由５ア</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26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〇（※１）</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r>
      <w:tr>
        <w:trPr/>
        <w:tc>
          <w:tcPr>
            <w:tcW w:w="1578" w:type="dxa"/>
            <w:vMerge w:val="continue"/>
            <w:vAlign w:val="top"/>
          </w:tcPr>
          <w:p>
            <w:pPr>
              <w:pStyle w:val="0"/>
              <w:rPr>
                <w:rFonts w:hint="eastAsia" w:ascii="AR P丸ゴシック体M" w:hAnsi="AR P丸ゴシック体M" w:eastAsia="AR P丸ゴシック体M"/>
              </w:rPr>
            </w:pPr>
          </w:p>
        </w:tc>
        <w:tc>
          <w:tcPr>
            <w:tcW w:w="1470" w:type="dxa"/>
            <w:vMerge w:val="continue"/>
            <w:vAlign w:val="top"/>
          </w:tcPr>
          <w:p>
            <w:pPr>
              <w:pStyle w:val="0"/>
              <w:rPr>
                <w:rFonts w:hint="eastAsia" w:ascii="AR P丸ゴシック体M" w:hAnsi="AR P丸ゴシック体M" w:eastAsia="AR P丸ゴシック体M"/>
              </w:rPr>
            </w:pPr>
          </w:p>
        </w:tc>
        <w:tc>
          <w:tcPr>
            <w:tcW w:w="147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理由５イ①</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26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〇（※２）</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r>
      <w:tr>
        <w:trPr/>
        <w:tc>
          <w:tcPr>
            <w:tcW w:w="1578" w:type="dxa"/>
            <w:vMerge w:val="continue"/>
            <w:vAlign w:val="top"/>
          </w:tcPr>
          <w:p>
            <w:pPr>
              <w:pStyle w:val="0"/>
              <w:rPr>
                <w:rFonts w:hint="eastAsia"/>
              </w:rPr>
            </w:pPr>
          </w:p>
        </w:tc>
        <w:tc>
          <w:tcPr>
            <w:tcW w:w="1470" w:type="dxa"/>
            <w:vMerge w:val="continue"/>
            <w:vAlign w:val="top"/>
          </w:tcPr>
          <w:p>
            <w:pPr>
              <w:pStyle w:val="0"/>
              <w:rPr>
                <w:rFonts w:hint="eastAsia"/>
              </w:rPr>
            </w:pPr>
          </w:p>
        </w:tc>
        <w:tc>
          <w:tcPr>
            <w:tcW w:w="147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理由５イ②</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26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〇（※２）</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r>
      <w:tr>
        <w:trPr/>
        <w:tc>
          <w:tcPr>
            <w:tcW w:w="1578" w:type="dxa"/>
            <w:vMerge w:val="continue"/>
            <w:vAlign w:val="top"/>
          </w:tcPr>
          <w:p>
            <w:pPr>
              <w:pStyle w:val="0"/>
              <w:rPr>
                <w:rFonts w:hint="eastAsia"/>
              </w:rPr>
            </w:pPr>
          </w:p>
        </w:tc>
        <w:tc>
          <w:tcPr>
            <w:tcW w:w="1470" w:type="dxa"/>
            <w:vMerge w:val="continue"/>
            <w:vAlign w:val="top"/>
          </w:tcPr>
          <w:p>
            <w:pPr>
              <w:pStyle w:val="0"/>
              <w:rPr>
                <w:rFonts w:hint="eastAsia"/>
              </w:rPr>
            </w:pPr>
          </w:p>
        </w:tc>
        <w:tc>
          <w:tcPr>
            <w:tcW w:w="1470" w:type="dxa"/>
            <w:vAlign w:val="top"/>
          </w:tcPr>
          <w:p>
            <w:pPr>
              <w:pStyle w:val="0"/>
              <w:rPr>
                <w:rFonts w:hint="eastAsia" w:ascii="AR P丸ゴシック体M" w:hAnsi="AR P丸ゴシック体M" w:eastAsia="AR P丸ゴシック体M"/>
              </w:rPr>
            </w:pPr>
            <w:r>
              <w:rPr>
                <w:rFonts w:hint="eastAsia" w:ascii="AR P丸ゴシック体M" w:hAnsi="AR P丸ゴシック体M" w:eastAsia="AR P丸ゴシック体M"/>
              </w:rPr>
              <w:t>理由６</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26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〇</w:t>
            </w:r>
          </w:p>
        </w:tc>
        <w:tc>
          <w:tcPr>
            <w:tcW w:w="1050" w:type="dxa"/>
            <w:vAlign w:val="top"/>
          </w:tcPr>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w:t>
            </w:r>
          </w:p>
        </w:tc>
      </w:tr>
    </w:tbl>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※１　①地域ケア会議等の議事録の写し、②提出した居宅サービス計画書（第</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表～</w:t>
      </w:r>
    </w:p>
    <w:p>
      <w:pPr>
        <w:pStyle w:val="0"/>
        <w:ind w:firstLine="660" w:firstLine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第</w:t>
      </w:r>
      <w:r>
        <w:rPr>
          <w:rFonts w:hint="eastAsia" w:ascii="HG丸ｺﾞｼｯｸM-PRO" w:hAnsi="HG丸ｺﾞｼｯｸM-PRO" w:eastAsia="HG丸ｺﾞｼｯｸM-PRO"/>
          <w:sz w:val="22"/>
        </w:rPr>
        <w:t>3</w:t>
      </w:r>
      <w:r>
        <w:rPr>
          <w:rFonts w:hint="eastAsia" w:ascii="HG丸ｺﾞｼｯｸM-PRO" w:hAnsi="HG丸ｺﾞｼｯｸM-PRO" w:eastAsia="HG丸ｺﾞｼｯｸM-PRO"/>
          <w:sz w:val="22"/>
        </w:rPr>
        <w:t>表）の写しを添付してください。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※２　①アセスメントの写し、②居宅サービス計画（第</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表～第</w:t>
      </w:r>
      <w:r>
        <w:rPr>
          <w:rFonts w:hint="eastAsia" w:ascii="HG丸ｺﾞｼｯｸM-PRO" w:hAnsi="HG丸ｺﾞｼｯｸM-PRO" w:eastAsia="HG丸ｺﾞｼｯｸM-PRO"/>
          <w:sz w:val="22"/>
        </w:rPr>
        <w:t>7</w:t>
      </w:r>
      <w:r>
        <w:rPr>
          <w:rFonts w:hint="eastAsia" w:ascii="HG丸ｺﾞｼｯｸM-PRO" w:hAnsi="HG丸ｺﾞｼｯｸM-PRO" w:eastAsia="HG丸ｺﾞｼｯｸM-PRO"/>
          <w:sz w:val="22"/>
        </w:rPr>
        <w:t>表）の写し（記録</w:t>
      </w:r>
    </w:p>
    <w:p>
      <w:pPr>
        <w:pStyle w:val="0"/>
        <w:ind w:firstLine="660" w:firstLine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も含む）を添付してください。</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※３　上記の添付資料は、できる限り両面コピーしたものを提出してください。</w:t>
      </w:r>
    </w:p>
    <w:p>
      <w:pPr>
        <w:pStyle w:val="0"/>
        <w:rPr>
          <w:rFonts w:hint="eastAsia" w:ascii="HG丸ｺﾞｼｯｸM-PRO" w:hAnsi="HG丸ｺﾞｼｯｸM-PRO" w:eastAsia="HG丸ｺﾞｼｯｸM-PRO"/>
          <w:sz w:val="22"/>
        </w:rPr>
      </w:pPr>
    </w:p>
    <w:p>
      <w:pPr>
        <w:pStyle w:val="0"/>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７　提出先等</w:t>
      </w:r>
    </w:p>
    <w:p>
      <w:pPr>
        <w:pStyle w:val="0"/>
        <w:rPr>
          <w:rFonts w:hint="eastAsia" w:ascii="HG丸ｺﾞｼｯｸM-PRO" w:hAnsi="HG丸ｺﾞｼｯｸM-PRO" w:eastAsia="HG丸ｺﾞｼｯｸM-PRO"/>
          <w:sz w:val="22"/>
        </w:rPr>
      </w:pPr>
      <w:r>
        <w:rPr>
          <w:rFonts w:hint="eastAsia" w:ascii="AR P丸ゴシック体E" w:hAnsi="AR P丸ゴシック体E" w:eastAsia="AR P丸ゴシック体E"/>
          <w:sz w:val="22"/>
        </w:rPr>
        <w:t>　　</w:t>
      </w:r>
      <w:r>
        <w:rPr>
          <w:rFonts w:hint="eastAsia" w:ascii="HG丸ｺﾞｼｯｸM-PRO" w:hAnsi="HG丸ｺﾞｼｯｸM-PRO" w:eastAsia="HG丸ｺﾞｼｯｸM-PRO"/>
          <w:sz w:val="22"/>
        </w:rPr>
        <w:t>１）提出先：串間市医療介護課介護保険係</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２）提出部数：</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部</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３）提出方法：郵送または持参</w:t>
      </w:r>
    </w:p>
    <w:p>
      <w:pPr>
        <w:pStyle w:val="0"/>
        <w:rPr>
          <w:rFonts w:hint="eastAsia" w:ascii="AR P丸ゴシック体E" w:hAnsi="AR P丸ゴシック体E" w:eastAsia="AR P丸ゴシック体E"/>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widowControl w:val="1"/>
        <w:overflowPunct w:val="1"/>
        <w:jc w:val="left"/>
        <w:textAlignment w:val="auto"/>
        <w:rPr>
          <w:rFonts w:hint="eastAsia" w:ascii="AR P丸ゴシック体M" w:hAnsi="AR P丸ゴシック体M" w:eastAsia="AR P丸ゴシック体M"/>
          <w:b w:val="1"/>
          <w:sz w:val="22"/>
        </w:rPr>
      </w:pPr>
      <w:r>
        <w:rPr>
          <w:rFonts w:hint="eastAsia" w:ascii="AR P丸ゴシック体M" w:hAnsi="AR P丸ゴシック体M" w:eastAsia="AR P丸ゴシック体M"/>
          <w:b w:val="1"/>
          <w:sz w:val="22"/>
        </w:rPr>
        <w:t>8</w:t>
      </w:r>
      <w:r>
        <w:rPr>
          <w:rFonts w:hint="eastAsia" w:ascii="AR P丸ゴシック体M" w:hAnsi="AR P丸ゴシック体M" w:eastAsia="AR P丸ゴシック体M"/>
          <w:b w:val="1"/>
          <w:sz w:val="22"/>
        </w:rPr>
        <w:t>　Ｑ＆Ａ</w:t>
      </w:r>
    </w:p>
    <w:p>
      <w:pPr>
        <w:pStyle w:val="0"/>
        <w:rPr>
          <w:rFonts w:hint="default" w:ascii="ＭＳ ゴシック" w:hAnsi="ＭＳ ゴシック" w:eastAsia="ＭＳ ゴシック"/>
          <w:b w:val="1"/>
        </w:rPr>
      </w:pPr>
    </w:p>
    <w:tbl>
      <w:tblPr>
        <w:tblStyle w:val="11"/>
        <w:tblW w:w="0" w:type="auto"/>
        <w:tblInd w:w="102" w:type="dxa"/>
        <w:tblLayout w:type="fixed"/>
        <w:tblCellMar>
          <w:left w:w="0" w:type="dxa"/>
          <w:right w:w="0" w:type="dxa"/>
        </w:tblCellMar>
        <w:tblLook w:firstRow="0" w:lastRow="0" w:firstColumn="0" w:lastColumn="0" w:noHBand="0" w:noVBand="0" w:val="0000"/>
      </w:tblPr>
      <w:tblGrid>
        <w:gridCol w:w="8374"/>
      </w:tblGrid>
      <w:tr>
        <w:trPr/>
        <w:tc>
          <w:tcPr>
            <w:tcW w:w="8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638" w:hanging="638" w:hangingChars="300"/>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問１）通常の事業の実施地域について、市町村合併後の市町単位で届け出ているが実態は旧市町村の地域を主としてサービス提供している。こうした実態に応じて通常の事業の実施地域を変更することは可能か。</w:t>
            </w:r>
          </w:p>
        </w:tc>
      </w:tr>
    </w:tbl>
    <w:p>
      <w:pPr>
        <w:pStyle w:val="0"/>
        <w:ind w:left="632" w:hanging="632" w:hangingChars="300"/>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pacing w:val="-1"/>
          <w:sz w:val="22"/>
        </w:rPr>
        <w:t xml:space="preserve">  </w:t>
      </w:r>
      <w:r>
        <w:rPr>
          <w:rFonts w:hint="eastAsia" w:ascii="HG丸ｺﾞｼｯｸM-PRO" w:hAnsi="HG丸ｺﾞｼｯｸM-PRO" w:eastAsia="HG丸ｺﾞｼｯｸM-PRO"/>
          <w:color w:val="auto"/>
          <w:sz w:val="22"/>
        </w:rPr>
        <w:t>（答）可能ですが、運営規程に定めるなどして適切に対応してください。なお、サービス提供地域の実態については変更届出時に確認することがありますので、客観的な挙証資料を備えておいてください。</w:t>
      </w:r>
    </w:p>
    <w:p>
      <w:pPr>
        <w:pStyle w:val="0"/>
        <w:rPr>
          <w:rFonts w:hint="eastAsia" w:ascii="HG丸ｺﾞｼｯｸM-PRO" w:hAnsi="HG丸ｺﾞｼｯｸM-PRO" w:eastAsia="HG丸ｺﾞｼｯｸM-PRO"/>
          <w:sz w:val="22"/>
        </w:rPr>
      </w:pPr>
    </w:p>
    <w:tbl>
      <w:tblPr>
        <w:tblStyle w:val="11"/>
        <w:tblW w:w="0" w:type="auto"/>
        <w:tblInd w:w="102" w:type="dxa"/>
        <w:tblLayout w:type="fixed"/>
        <w:tblCellMar>
          <w:left w:w="0" w:type="dxa"/>
          <w:right w:w="0" w:type="dxa"/>
        </w:tblCellMar>
        <w:tblLook w:firstRow="0" w:lastRow="0" w:firstColumn="0" w:lastColumn="0" w:noHBand="0" w:noVBand="0" w:val="0000"/>
      </w:tblPr>
      <w:tblGrid>
        <w:gridCol w:w="8374"/>
      </w:tblGrid>
      <w:tr>
        <w:trPr/>
        <w:tc>
          <w:tcPr>
            <w:tcW w:w="8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（問２）給付管理を月遅れで行った場合、どの月の件数として算定すればよいか？</w:t>
            </w:r>
          </w:p>
        </w:tc>
      </w:tr>
    </w:tbl>
    <w:p>
      <w:pPr>
        <w:pStyle w:val="0"/>
        <w:ind w:left="638" w:hanging="638"/>
        <w:rPr>
          <w:rFonts w:hint="eastAsia" w:ascii="HG丸ｺﾞｼｯｸM-PRO" w:hAnsi="HG丸ｺﾞｼｯｸM-PRO" w:eastAsia="HG丸ｺﾞｼｯｸM-PRO"/>
          <w:sz w:val="22"/>
        </w:rPr>
      </w:pPr>
      <w:r>
        <w:rPr>
          <w:rFonts w:hint="eastAsia" w:ascii="HG丸ｺﾞｼｯｸM-PRO" w:hAnsi="HG丸ｺﾞｼｯｸM-PRO" w:eastAsia="HG丸ｺﾞｼｯｸM-PRO"/>
          <w:spacing w:val="-1"/>
          <w:sz w:val="22"/>
        </w:rPr>
        <w:t xml:space="preserve">  </w:t>
      </w:r>
      <w:r>
        <w:rPr>
          <w:rFonts w:hint="eastAsia" w:ascii="HG丸ｺﾞｼｯｸM-PRO" w:hAnsi="HG丸ｺﾞｼｯｸM-PRO" w:eastAsia="HG丸ｺﾞｼｯｸM-PRO"/>
          <w:sz w:val="22"/>
        </w:rPr>
        <w:t>（答）サービス提供を行った月の件数としてカウントしてください。例えば、１０月にサービス提供を行った分の給付管理票の提出を、月遅れで１２月に行った場合には、１０月分に計上してください。</w:t>
      </w:r>
    </w:p>
    <w:p>
      <w:pPr>
        <w:pStyle w:val="0"/>
        <w:rPr>
          <w:rFonts w:hint="eastAsia" w:ascii="HG丸ｺﾞｼｯｸM-PRO" w:hAnsi="HG丸ｺﾞｼｯｸM-PRO" w:eastAsia="HG丸ｺﾞｼｯｸM-PRO"/>
          <w:sz w:val="22"/>
        </w:rPr>
      </w:pPr>
    </w:p>
    <w:tbl>
      <w:tblPr>
        <w:tblStyle w:val="11"/>
        <w:tblW w:w="0" w:type="auto"/>
        <w:tblInd w:w="102" w:type="dxa"/>
        <w:tblLayout w:type="fixed"/>
        <w:tblCellMar>
          <w:left w:w="0" w:type="dxa"/>
          <w:right w:w="0" w:type="dxa"/>
        </w:tblCellMar>
        <w:tblLook w:firstRow="0" w:lastRow="0" w:firstColumn="0" w:lastColumn="0" w:noHBand="0" w:noVBand="0" w:val="0000"/>
      </w:tblPr>
      <w:tblGrid>
        <w:gridCol w:w="8374"/>
      </w:tblGrid>
      <w:tr>
        <w:trPr/>
        <w:tc>
          <w:tcPr>
            <w:tcW w:w="8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638" w:hanging="638" w:hangingChars="300"/>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問３）（５）のアでは地域ケア会議その他個別のケースを地域で検討する会議にその利用者の居宅サービス計画を提出し、支援内容についての意見・助言を受けているケースについて、どのような資料で証明すればいいか。</w:t>
            </w:r>
          </w:p>
        </w:tc>
      </w:tr>
    </w:tbl>
    <w:p>
      <w:pPr>
        <w:pStyle w:val="0"/>
        <w:ind w:left="638" w:hanging="638"/>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pacing w:val="-1"/>
          <w:sz w:val="22"/>
        </w:rPr>
        <w:t xml:space="preserve">  </w:t>
      </w:r>
      <w:r>
        <w:rPr>
          <w:rFonts w:hint="eastAsia" w:ascii="HG丸ｺﾞｼｯｸM-PRO" w:hAnsi="HG丸ｺﾞｼｯｸM-PRO" w:eastAsia="HG丸ｺﾞｼｯｸM-PRO"/>
          <w:color w:val="auto"/>
          <w:sz w:val="22"/>
        </w:rPr>
        <w:t>（答）会議の議事録（開催日時、出席者名、議事の詳細が記載されているもの）の写し及び提出された居宅サービス計画の写し（第１表～第３表）で確認します。</w:t>
      </w:r>
    </w:p>
    <w:p>
      <w:pPr>
        <w:pStyle w:val="0"/>
        <w:rPr>
          <w:rFonts w:hint="eastAsia" w:ascii="HG丸ｺﾞｼｯｸM-PRO" w:hAnsi="HG丸ｺﾞｼｯｸM-PRO" w:eastAsia="HG丸ｺﾞｼｯｸM-PRO"/>
          <w:sz w:val="22"/>
        </w:rPr>
      </w:pPr>
    </w:p>
    <w:tbl>
      <w:tblPr>
        <w:tblStyle w:val="11"/>
        <w:tblW w:w="0" w:type="auto"/>
        <w:tblInd w:w="102" w:type="dxa"/>
        <w:tblLayout w:type="fixed"/>
        <w:tblCellMar>
          <w:left w:w="0" w:type="dxa"/>
          <w:right w:w="0" w:type="dxa"/>
        </w:tblCellMar>
        <w:tblLook w:firstRow="0" w:lastRow="0" w:firstColumn="0" w:lastColumn="0" w:noHBand="0" w:noVBand="0" w:val="0000"/>
      </w:tblPr>
      <w:tblGrid>
        <w:gridCol w:w="8374"/>
      </w:tblGrid>
      <w:tr>
        <w:trPr/>
        <w:tc>
          <w:tcPr>
            <w:tcW w:w="8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638" w:hanging="638"/>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（問４）（５）のイを新たに設定した主旨は何か。</w:t>
            </w:r>
          </w:p>
        </w:tc>
      </w:tr>
    </w:tbl>
    <w:p>
      <w:pPr>
        <w:pStyle w:val="0"/>
        <w:ind w:left="638" w:hanging="638"/>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pacing w:val="-1"/>
          <w:sz w:val="22"/>
        </w:rPr>
        <w:t xml:space="preserve">  </w:t>
      </w:r>
      <w:r>
        <w:rPr>
          <w:rFonts w:hint="eastAsia" w:ascii="HG丸ｺﾞｼｯｸM-PRO" w:hAnsi="HG丸ｺﾞｼｯｸM-PRO" w:eastAsia="HG丸ｺﾞｼｯｸM-PRO"/>
          <w:color w:val="auto"/>
          <w:sz w:val="22"/>
        </w:rPr>
        <w:t>（答）本減算の主旨は、居宅介護支援事業所による特定の居宅サービス事業所への意図的な集中利用を抑止することです。指定居宅介護支援等の事業の人員及び運営に関する基準第１条第２項においては「指定居宅介護支援の事業は、利用者の心身の状況、その置かれている環境等に応じて、利用者の選択に基づき、適切な保健医療サービスが、多様な事業者から、総合的かつ効率的に提供されるよう配慮して行われるものでなければならない。」とされています。このように、公正、中立な立場で利用者の選択を支援するのが介護支援専門員の重要な役割となっていますので、平成２７年度改正に伴い、改めて、この基本に立ち返るため設定した条件です。</w:t>
      </w:r>
    </w:p>
    <w:p>
      <w:pPr>
        <w:pStyle w:val="0"/>
        <w:ind w:left="638" w:leftChars="300" w:firstLine="213" w:firstLineChars="100"/>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また、居宅サービス計画は個々の利用者の特性に応じて作成されるものですので、事業所を選択する理由も利用者によってさまざまであるはずです。このため、正当な理由に該当するものとして提出された居宅サービス計画や理由書が、全て同じ加算の算定によるものであるような場合などは、正当な理由に該当しないこともありますので留意してください。</w:t>
      </w:r>
    </w:p>
    <w:p>
      <w:pPr>
        <w:pStyle w:val="0"/>
        <w:ind w:left="638" w:leftChars="300" w:firstLine="213" w:firstLineChars="100"/>
        <w:rPr>
          <w:rFonts w:hint="eastAsia" w:ascii="HG丸ｺﾞｼｯｸM-PRO" w:hAnsi="HG丸ｺﾞｼｯｸM-PRO" w:eastAsia="HG丸ｺﾞｼｯｸM-PRO"/>
          <w:color w:val="auto"/>
          <w:sz w:val="22"/>
        </w:rPr>
      </w:pPr>
    </w:p>
    <w:p>
      <w:pPr>
        <w:pStyle w:val="0"/>
        <w:ind w:left="638" w:leftChars="300" w:firstLine="213" w:firstLineChars="100"/>
        <w:rPr>
          <w:rFonts w:hint="eastAsia" w:ascii="HG丸ｺﾞｼｯｸM-PRO" w:hAnsi="HG丸ｺﾞｼｯｸM-PRO" w:eastAsia="HG丸ｺﾞｼｯｸM-PRO"/>
          <w:color w:val="auto"/>
          <w:sz w:val="22"/>
        </w:rPr>
      </w:pPr>
    </w:p>
    <w:tbl>
      <w:tblPr>
        <w:tblStyle w:val="11"/>
        <w:tblW w:w="0" w:type="auto"/>
        <w:tblInd w:w="102" w:type="dxa"/>
        <w:tblLayout w:type="fixed"/>
        <w:tblCellMar>
          <w:left w:w="0" w:type="dxa"/>
          <w:right w:w="0" w:type="dxa"/>
        </w:tblCellMar>
        <w:tblLook w:firstRow="0" w:lastRow="0" w:firstColumn="0" w:lastColumn="0" w:noHBand="0" w:noVBand="0" w:val="0000"/>
      </w:tblPr>
      <w:tblGrid>
        <w:gridCol w:w="8374"/>
      </w:tblGrid>
      <w:tr>
        <w:trPr/>
        <w:tc>
          <w:tcPr>
            <w:tcW w:w="8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638" w:hanging="638"/>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（問５）（５）のイで言う「各種加算等の体制を届出ている」とは何か。</w:t>
            </w:r>
          </w:p>
        </w:tc>
      </w:tr>
    </w:tbl>
    <w:p>
      <w:pPr>
        <w:pStyle w:val="0"/>
        <w:ind w:left="638" w:hanging="638"/>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　（答）介護給付費算定に関する届出書における届出内容のことです（割引等も含む）。なお、加算等を届け出ていないが、同等の体制にあるものとして客観的な挙証資料の提出があった場合も含みます。　</w:t>
      </w:r>
    </w:p>
    <w:p>
      <w:pPr>
        <w:pStyle w:val="0"/>
        <w:rPr>
          <w:rFonts w:hint="eastAsia" w:ascii="HG丸ｺﾞｼｯｸM-PRO" w:hAnsi="HG丸ｺﾞｼｯｸM-PRO" w:eastAsia="HG丸ｺﾞｼｯｸM-PRO"/>
          <w:color w:val="auto"/>
          <w:sz w:val="22"/>
        </w:rPr>
      </w:pPr>
    </w:p>
    <w:tbl>
      <w:tblPr>
        <w:tblStyle w:val="11"/>
        <w:tblW w:w="0" w:type="auto"/>
        <w:tblInd w:w="102" w:type="dxa"/>
        <w:tblLayout w:type="fixed"/>
        <w:tblCellMar>
          <w:left w:w="0" w:type="dxa"/>
          <w:right w:w="0" w:type="dxa"/>
        </w:tblCellMar>
        <w:tblLook w:firstRow="0" w:lastRow="0" w:firstColumn="0" w:lastColumn="0" w:noHBand="0" w:noVBand="0" w:val="0000"/>
      </w:tblPr>
      <w:tblGrid>
        <w:gridCol w:w="8374"/>
      </w:tblGrid>
      <w:tr>
        <w:trPr/>
        <w:tc>
          <w:tcPr>
            <w:tcW w:w="8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638" w:hanging="638"/>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（問６）（６）でいう諸般の事情とはどのようなことを想定しているのか？</w:t>
            </w:r>
          </w:p>
        </w:tc>
      </w:tr>
    </w:tbl>
    <w:p>
      <w:pPr>
        <w:pStyle w:val="0"/>
        <w:ind w:left="638" w:hanging="638" w:hangingChars="300"/>
        <w:rPr>
          <w:rFonts w:hint="eastAsia" w:ascii="HG丸ｺﾞｼｯｸM-PRO" w:hAnsi="HG丸ｺﾞｼｯｸM-PRO" w:eastAsia="HG丸ｺﾞｼｯｸM-PRO"/>
          <w:color w:val="auto"/>
          <w:sz w:val="22"/>
        </w:rPr>
      </w:pPr>
      <w:r>
        <w:rPr>
          <w:rFonts w:hint="eastAsia" w:ascii="HG丸ｺﾞｼｯｸM-PRO" w:hAnsi="HG丸ｺﾞｼｯｸM-PRO" w:eastAsia="HG丸ｺﾞｼｯｸM-PRO"/>
          <w:color w:val="auto"/>
          <w:sz w:val="22"/>
        </w:rPr>
        <w:t>　（答）災害や他事業所の休止、廃止等で引き継がざるを得なかった事例や、支援困難として市町村や地域包括支援センターから依頼があった事例等を想定しています。</w:t>
      </w:r>
    </w:p>
    <w:p>
      <w:pPr>
        <w:pStyle w:val="0"/>
        <w:ind w:left="638" w:hanging="638" w:hangingChars="300"/>
        <w:rPr>
          <w:rFonts w:hint="eastAsia" w:ascii="HG丸ｺﾞｼｯｸM-PRO" w:hAnsi="HG丸ｺﾞｼｯｸM-PRO" w:eastAsia="HG丸ｺﾞｼｯｸM-PRO"/>
          <w:color w:val="auto"/>
          <w:sz w:val="22"/>
        </w:rPr>
      </w:pPr>
    </w:p>
    <w:tbl>
      <w:tblPr>
        <w:tblStyle w:val="11"/>
        <w:tblW w:w="0" w:type="auto"/>
        <w:tblInd w:w="102" w:type="dxa"/>
        <w:tblLayout w:type="fixed"/>
        <w:tblCellMar>
          <w:left w:w="0" w:type="dxa"/>
          <w:right w:w="0" w:type="dxa"/>
        </w:tblCellMar>
        <w:tblLook w:firstRow="0" w:lastRow="0" w:firstColumn="0" w:lastColumn="0" w:noHBand="0" w:noVBand="0" w:val="0000"/>
      </w:tblPr>
      <w:tblGrid>
        <w:gridCol w:w="8374"/>
      </w:tblGrid>
      <w:tr>
        <w:trPr/>
        <w:tc>
          <w:tcPr>
            <w:tcW w:w="83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ind w:left="638" w:hanging="638"/>
              <w:rPr>
                <w:rFonts w:hint="eastAsia"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問７）平成２８年４月１日から当減算の対象サービスとして地域密着型通所介護が加わったところであるが、平成２８年４月１日前から継続して通所介護を利用している者も多いが、通所介護と地域密着型通所介護とを分けて計算する必要があるか。</w:t>
            </w:r>
          </w:p>
        </w:tc>
      </w:tr>
    </w:tbl>
    <w:p>
      <w:pPr>
        <w:pStyle w:val="0"/>
        <w:ind w:left="638" w:hanging="638" w:hanging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color w:val="000000" w:themeColor="text1"/>
          <w:sz w:val="22"/>
        </w:rPr>
        <w:t>　（答）通所介護と地域密着型通所介護の紹介率については、２つのサービスの位置づけのある居宅サービス計画を合算して算出してかまわない。（実質、移行前の算出の方法から変更なし。）</w:t>
      </w:r>
    </w:p>
    <w:p>
      <w:pPr>
        <w:pStyle w:val="0"/>
        <w:rPr>
          <w:rFonts w:hint="eastAsia" w:ascii="HG丸ｺﾞｼｯｸM-PRO" w:hAnsi="HG丸ｺﾞｼｯｸM-PRO" w:eastAsia="HG丸ｺﾞｼｯｸM-PRO"/>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E">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8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olidFill>
          <a:schemeClr val="lt1">
            <a:alpha val="0"/>
          </a:schemeClr>
        </a:solidFill>
      </a:spPr>
      <a:bodyPr vertOverflow="overflow" horzOverflow="overflow" wrap="square" anchor="ctr"/>
      <a:lstStyle/>
      <a:style>
        <a:lnRef idx="2">
          <a:schemeClr val="accent2"/>
        </a:lnRef>
        <a:fillRef idx="1">
          <a:schemeClr val="l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TotalTime>
  <Pages>7</Pages>
  <Words>58</Words>
  <Characters>4308</Characters>
  <Application>JUST Note</Application>
  <Lines>2868</Lines>
  <Paragraphs>163</Paragraphs>
  <CharactersWithSpaces>4401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中田　千佳</dc:creator>
  <cp:lastModifiedBy>中田　千佳</cp:lastModifiedBy>
  <cp:lastPrinted>2020-08-18T00:19:20Z</cp:lastPrinted>
  <dcterms:created xsi:type="dcterms:W3CDTF">2020-08-17T05:14:00Z</dcterms:created>
  <dcterms:modified xsi:type="dcterms:W3CDTF">2020-08-18T00:19:35Z</dcterms:modified>
  <cp:revision>0</cp:revision>
</cp:coreProperties>
</file>